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F243" w14:textId="77777777" w:rsidR="00EE6F5F" w:rsidRDefault="00BA30D9">
      <w:pPr>
        <w:spacing w:after="60"/>
      </w:pPr>
      <w:r>
        <w:rPr>
          <w:b/>
          <w:bCs/>
          <w:color w:val="00395D"/>
          <w:sz w:val="30"/>
          <w:szCs w:val="30"/>
        </w:rPr>
        <w:t>tieto</w:t>
      </w:r>
      <w:r>
        <w:rPr>
          <w:color w:val="5A6472"/>
          <w:sz w:val="24"/>
          <w:szCs w:val="24"/>
        </w:rPr>
        <w:t xml:space="preserve">   |   One Credit Engine</w:t>
      </w:r>
    </w:p>
    <w:p w14:paraId="1BE9F244" w14:textId="77777777" w:rsidR="00EE6F5F" w:rsidRDefault="00BA30D9">
      <w:pPr>
        <w:spacing w:after="40"/>
      </w:pPr>
      <w:r>
        <w:rPr>
          <w:b/>
          <w:bCs/>
          <w:sz w:val="38"/>
          <w:szCs w:val="38"/>
        </w:rPr>
        <w:t>Developer Handover</w:t>
      </w:r>
    </w:p>
    <w:p w14:paraId="1BE9F245" w14:textId="77777777" w:rsidR="00EE6F5F" w:rsidRDefault="00BA30D9">
      <w:pPr>
        <w:spacing w:after="200"/>
      </w:pPr>
      <w:r>
        <w:rPr>
          <w:color w:val="5A6472"/>
          <w:sz w:val="25"/>
          <w:szCs w:val="25"/>
        </w:rPr>
        <w:t>Handing the prototype to the build team</w:t>
      </w:r>
    </w:p>
    <w:p w14:paraId="1BE9F246" w14:textId="77777777" w:rsidR="00EE6F5F" w:rsidRDefault="00EE6F5F">
      <w:pPr>
        <w:pBdr>
          <w:bottom w:val="single" w:sz="8" w:space="0" w:color="00395D"/>
        </w:pBdr>
        <w:spacing w:after="200"/>
      </w:pPr>
    </w:p>
    <w:p w14:paraId="1BE9F247" w14:textId="77777777" w:rsidR="00EE6F5F" w:rsidRDefault="00BA30D9">
      <w:pPr>
        <w:spacing w:after="100"/>
      </w:pPr>
      <w:r>
        <w:rPr>
          <w:b/>
          <w:bCs/>
          <w:sz w:val="24"/>
          <w:szCs w:val="24"/>
        </w:rPr>
        <w:t>Contents</w:t>
      </w:r>
    </w:p>
    <w:sdt>
      <w:sdtPr>
        <w:alias w:val="Contents"/>
        <w:id w:val="-999887366"/>
      </w:sdtPr>
      <w:sdtEndPr/>
      <w:sdtContent>
        <w:p w14:paraId="1114624F" w14:textId="06998F45" w:rsidR="003076EF" w:rsidRDefault="00BA30D9">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736084" w:history="1">
            <w:r w:rsidR="003076EF" w:rsidRPr="00B02497">
              <w:rPr>
                <w:rStyle w:val="Hyperlink"/>
                <w:noProof/>
              </w:rPr>
              <w:t>1. Mindset — the prototype is an executable specification</w:t>
            </w:r>
            <w:r w:rsidR="003076EF">
              <w:rPr>
                <w:noProof/>
              </w:rPr>
              <w:tab/>
            </w:r>
            <w:r w:rsidR="003076EF">
              <w:rPr>
                <w:noProof/>
              </w:rPr>
              <w:fldChar w:fldCharType="begin"/>
            </w:r>
            <w:r w:rsidR="003076EF">
              <w:rPr>
                <w:noProof/>
              </w:rPr>
              <w:instrText xml:space="preserve"> PAGEREF _Toc238736084 \h </w:instrText>
            </w:r>
            <w:r w:rsidR="003076EF">
              <w:rPr>
                <w:noProof/>
              </w:rPr>
            </w:r>
            <w:r w:rsidR="003076EF">
              <w:rPr>
                <w:noProof/>
              </w:rPr>
              <w:fldChar w:fldCharType="separate"/>
            </w:r>
            <w:r w:rsidR="003076EF">
              <w:rPr>
                <w:noProof/>
              </w:rPr>
              <w:t>2</w:t>
            </w:r>
            <w:r w:rsidR="003076EF">
              <w:rPr>
                <w:noProof/>
              </w:rPr>
              <w:fldChar w:fldCharType="end"/>
            </w:r>
          </w:hyperlink>
        </w:p>
        <w:p w14:paraId="560C3568" w14:textId="199F8C03"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85" w:history="1">
            <w:r w:rsidRPr="00B02497">
              <w:rPr>
                <w:rStyle w:val="Hyperlink"/>
                <w:noProof/>
              </w:rPr>
              <w:t>2. What is in the handover package</w:t>
            </w:r>
            <w:r>
              <w:rPr>
                <w:noProof/>
              </w:rPr>
              <w:tab/>
            </w:r>
            <w:r>
              <w:rPr>
                <w:noProof/>
              </w:rPr>
              <w:fldChar w:fldCharType="begin"/>
            </w:r>
            <w:r>
              <w:rPr>
                <w:noProof/>
              </w:rPr>
              <w:instrText xml:space="preserve"> PAGEREF _Toc238736085 \h </w:instrText>
            </w:r>
            <w:r>
              <w:rPr>
                <w:noProof/>
              </w:rPr>
            </w:r>
            <w:r>
              <w:rPr>
                <w:noProof/>
              </w:rPr>
              <w:fldChar w:fldCharType="separate"/>
            </w:r>
            <w:r>
              <w:rPr>
                <w:noProof/>
              </w:rPr>
              <w:t>2</w:t>
            </w:r>
            <w:r>
              <w:rPr>
                <w:noProof/>
              </w:rPr>
              <w:fldChar w:fldCharType="end"/>
            </w:r>
          </w:hyperlink>
        </w:p>
        <w:p w14:paraId="2D69C647" w14:textId="3EDAEA19"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86" w:history="1">
            <w:r w:rsidRPr="00B02497">
              <w:rPr>
                <w:rStyle w:val="Hyperlink"/>
                <w:noProof/>
              </w:rPr>
              <w:t>3. Keep vs discard</w:t>
            </w:r>
            <w:r>
              <w:rPr>
                <w:noProof/>
              </w:rPr>
              <w:tab/>
            </w:r>
            <w:r>
              <w:rPr>
                <w:noProof/>
              </w:rPr>
              <w:fldChar w:fldCharType="begin"/>
            </w:r>
            <w:r>
              <w:rPr>
                <w:noProof/>
              </w:rPr>
              <w:instrText xml:space="preserve"> PAGEREF _Toc238736086 \h </w:instrText>
            </w:r>
            <w:r>
              <w:rPr>
                <w:noProof/>
              </w:rPr>
            </w:r>
            <w:r>
              <w:rPr>
                <w:noProof/>
              </w:rPr>
              <w:fldChar w:fldCharType="separate"/>
            </w:r>
            <w:r>
              <w:rPr>
                <w:noProof/>
              </w:rPr>
              <w:t>2</w:t>
            </w:r>
            <w:r>
              <w:rPr>
                <w:noProof/>
              </w:rPr>
              <w:fldChar w:fldCharType="end"/>
            </w:r>
          </w:hyperlink>
        </w:p>
        <w:p w14:paraId="4DE8500F" w14:textId="76037A8D"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87" w:history="1">
            <w:r w:rsidRPr="00B02497">
              <w:rPr>
                <w:rStyle w:val="Hyperlink"/>
                <w:noProof/>
              </w:rPr>
              <w:t>4. Architecture pointers for the real build</w:t>
            </w:r>
            <w:r>
              <w:rPr>
                <w:noProof/>
              </w:rPr>
              <w:tab/>
            </w:r>
            <w:r>
              <w:rPr>
                <w:noProof/>
              </w:rPr>
              <w:fldChar w:fldCharType="begin"/>
            </w:r>
            <w:r>
              <w:rPr>
                <w:noProof/>
              </w:rPr>
              <w:instrText xml:space="preserve"> PAGEREF _Toc238736087 \h </w:instrText>
            </w:r>
            <w:r>
              <w:rPr>
                <w:noProof/>
              </w:rPr>
            </w:r>
            <w:r>
              <w:rPr>
                <w:noProof/>
              </w:rPr>
              <w:fldChar w:fldCharType="separate"/>
            </w:r>
            <w:r>
              <w:rPr>
                <w:noProof/>
              </w:rPr>
              <w:t>2</w:t>
            </w:r>
            <w:r>
              <w:rPr>
                <w:noProof/>
              </w:rPr>
              <w:fldChar w:fldCharType="end"/>
            </w:r>
          </w:hyperlink>
        </w:p>
        <w:p w14:paraId="6454271D" w14:textId="432B1CE7"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88" w:history="1">
            <w:r w:rsidRPr="00B02497">
              <w:rPr>
                <w:rStyle w:val="Hyperlink"/>
                <w:noProof/>
              </w:rPr>
              <w:t>5. Invariants to preserve (the subtle bits)</w:t>
            </w:r>
            <w:r>
              <w:rPr>
                <w:noProof/>
              </w:rPr>
              <w:tab/>
            </w:r>
            <w:r>
              <w:rPr>
                <w:noProof/>
              </w:rPr>
              <w:fldChar w:fldCharType="begin"/>
            </w:r>
            <w:r>
              <w:rPr>
                <w:noProof/>
              </w:rPr>
              <w:instrText xml:space="preserve"> PAGEREF _Toc238736088 \h </w:instrText>
            </w:r>
            <w:r>
              <w:rPr>
                <w:noProof/>
              </w:rPr>
            </w:r>
            <w:r>
              <w:rPr>
                <w:noProof/>
              </w:rPr>
              <w:fldChar w:fldCharType="separate"/>
            </w:r>
            <w:r>
              <w:rPr>
                <w:noProof/>
              </w:rPr>
              <w:t>3</w:t>
            </w:r>
            <w:r>
              <w:rPr>
                <w:noProof/>
              </w:rPr>
              <w:fldChar w:fldCharType="end"/>
            </w:r>
          </w:hyperlink>
        </w:p>
        <w:p w14:paraId="0B6D714F" w14:textId="7AB1257E"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89" w:history="1">
            <w:r w:rsidRPr="00B02497">
              <w:rPr>
                <w:rStyle w:val="Hyperlink"/>
                <w:noProof/>
              </w:rPr>
              <w:t>6. Run guide</w:t>
            </w:r>
            <w:r>
              <w:rPr>
                <w:noProof/>
              </w:rPr>
              <w:tab/>
            </w:r>
            <w:r>
              <w:rPr>
                <w:noProof/>
              </w:rPr>
              <w:fldChar w:fldCharType="begin"/>
            </w:r>
            <w:r>
              <w:rPr>
                <w:noProof/>
              </w:rPr>
              <w:instrText xml:space="preserve"> PAGEREF _Toc238736089 \h </w:instrText>
            </w:r>
            <w:r>
              <w:rPr>
                <w:noProof/>
              </w:rPr>
            </w:r>
            <w:r>
              <w:rPr>
                <w:noProof/>
              </w:rPr>
              <w:fldChar w:fldCharType="separate"/>
            </w:r>
            <w:r>
              <w:rPr>
                <w:noProof/>
              </w:rPr>
              <w:t>3</w:t>
            </w:r>
            <w:r>
              <w:rPr>
                <w:noProof/>
              </w:rPr>
              <w:fldChar w:fldCharType="end"/>
            </w:r>
          </w:hyperlink>
        </w:p>
        <w:p w14:paraId="00A09B26" w14:textId="672CEE3E" w:rsidR="003076EF" w:rsidRDefault="003076EF">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736090" w:history="1">
            <w:r w:rsidRPr="00B02497">
              <w:rPr>
                <w:rStyle w:val="Hyperlink"/>
                <w:noProof/>
              </w:rPr>
              <w:t>7. Handover mechanics</w:t>
            </w:r>
            <w:r>
              <w:rPr>
                <w:noProof/>
              </w:rPr>
              <w:tab/>
            </w:r>
            <w:r>
              <w:rPr>
                <w:noProof/>
              </w:rPr>
              <w:fldChar w:fldCharType="begin"/>
            </w:r>
            <w:r>
              <w:rPr>
                <w:noProof/>
              </w:rPr>
              <w:instrText xml:space="preserve"> PAGEREF _Toc238736090 \h </w:instrText>
            </w:r>
            <w:r>
              <w:rPr>
                <w:noProof/>
              </w:rPr>
            </w:r>
            <w:r>
              <w:rPr>
                <w:noProof/>
              </w:rPr>
              <w:fldChar w:fldCharType="separate"/>
            </w:r>
            <w:r>
              <w:rPr>
                <w:noProof/>
              </w:rPr>
              <w:t>3</w:t>
            </w:r>
            <w:r>
              <w:rPr>
                <w:noProof/>
              </w:rPr>
              <w:fldChar w:fldCharType="end"/>
            </w:r>
          </w:hyperlink>
        </w:p>
        <w:p w14:paraId="1BE9F249" w14:textId="2C6CC42B" w:rsidR="00EE6F5F" w:rsidRDefault="00BA30D9">
          <w:r>
            <w:fldChar w:fldCharType="end"/>
          </w:r>
        </w:p>
      </w:sdtContent>
    </w:sdt>
    <w:p w14:paraId="1BE9F24A" w14:textId="77777777" w:rsidR="00EE6F5F" w:rsidRDefault="00BA30D9">
      <w:r>
        <w:br w:type="page"/>
      </w:r>
    </w:p>
    <w:p w14:paraId="1BE9F24B" w14:textId="77777777" w:rsidR="00EE6F5F" w:rsidRDefault="00BA30D9">
      <w:pPr>
        <w:pStyle w:val="Heading1"/>
        <w:spacing w:before="300" w:after="120"/>
      </w:pPr>
      <w:bookmarkStart w:id="0" w:name="_Toc238736084"/>
      <w:r>
        <w:lastRenderedPageBreak/>
        <w:t>1. Mindset — the prototype is an executable specification</w:t>
      </w:r>
      <w:bookmarkEnd w:id="0"/>
    </w:p>
    <w:p w14:paraId="1BE9F24C" w14:textId="77777777" w:rsidR="00EE6F5F" w:rsidRDefault="00BA30D9">
      <w:pPr>
        <w:spacing w:after="120" w:line="276" w:lineRule="auto"/>
      </w:pPr>
      <w:r>
        <w:t>This prototype is not the production codebase to ship. Its value is that it runs the real rules — account resolution, the recognition cutoff, accruals, terminations, the screens and the edge cases. Treat it as the source of truth for behaviour, then build the production system (database, services, message bus) against it. When a question arises about how something should work, the answer is "whatever the prototype does".</w:t>
      </w:r>
    </w:p>
    <w:p w14:paraId="1BE9F24D" w14:textId="77777777" w:rsidR="00EE6F5F" w:rsidRDefault="00BA30D9">
      <w:pPr>
        <w:pStyle w:val="Heading1"/>
        <w:spacing w:before="300" w:after="120"/>
      </w:pPr>
      <w:bookmarkStart w:id="1" w:name="_Toc238736085"/>
      <w:r>
        <w:t>2. What is in the handover package</w:t>
      </w:r>
      <w:bookmarkEnd w:id="1"/>
    </w:p>
    <w:p w14:paraId="1BE9F24E" w14:textId="77777777" w:rsidR="00EE6F5F" w:rsidRDefault="00BA30D9">
      <w:pPr>
        <w:pStyle w:val="ListParagraph"/>
        <w:numPr>
          <w:ilvl w:val="0"/>
          <w:numId w:val="2"/>
        </w:numPr>
        <w:spacing w:after="60" w:line="264" w:lineRule="auto"/>
      </w:pPr>
      <w:r>
        <w:rPr>
          <w:b/>
          <w:bCs/>
        </w:rPr>
        <w:t xml:space="preserve">The running prototype </w:t>
      </w:r>
      <w:r>
        <w:t xml:space="preserve">— React + Vite SPA under </w:t>
      </w:r>
      <w:r>
        <w:rPr>
          <w:rFonts w:ascii="Consolas" w:eastAsia="Consolas" w:hAnsi="Consolas" w:cs="Consolas"/>
          <w:color w:val="0E6BA8"/>
          <w:sz w:val="19"/>
          <w:szCs w:val="19"/>
        </w:rPr>
        <w:t>App/</w:t>
      </w:r>
      <w:r>
        <w:t>. Run it and click through every process.</w:t>
      </w:r>
    </w:p>
    <w:p w14:paraId="1BE9F24F" w14:textId="77777777" w:rsidR="00EE6F5F" w:rsidRDefault="00BA30D9">
      <w:pPr>
        <w:pStyle w:val="ListParagraph"/>
        <w:numPr>
          <w:ilvl w:val="0"/>
          <w:numId w:val="2"/>
        </w:numPr>
        <w:spacing w:after="60" w:line="264" w:lineRule="auto"/>
      </w:pPr>
      <w:r>
        <w:rPr>
          <w:b/>
          <w:bCs/>
        </w:rPr>
        <w:t xml:space="preserve">The documents </w:t>
      </w:r>
      <w:r>
        <w:t xml:space="preserve">(this folder): Overview, Agreement→Accounting messages, this Handover, the Data-model outline, and </w:t>
      </w:r>
      <w:r>
        <w:rPr>
          <w:rFonts w:ascii="Consolas" w:eastAsia="Consolas" w:hAnsi="Consolas" w:cs="Consolas"/>
          <w:color w:val="0E6BA8"/>
          <w:sz w:val="19"/>
          <w:szCs w:val="19"/>
        </w:rPr>
        <w:t>message-contract/</w:t>
      </w:r>
      <w:r>
        <w:t xml:space="preserve"> (JSON Schema + AsyncAPI + reference-data + validate).</w:t>
      </w:r>
    </w:p>
    <w:p w14:paraId="1BE9F250" w14:textId="77777777" w:rsidR="00EE6F5F" w:rsidRDefault="00BA30D9">
      <w:pPr>
        <w:pStyle w:val="ListParagraph"/>
        <w:numPr>
          <w:ilvl w:val="0"/>
          <w:numId w:val="2"/>
        </w:numPr>
        <w:spacing w:after="60" w:line="264" w:lineRule="auto"/>
      </w:pPr>
      <w:r>
        <w:rPr>
          <w:b/>
          <w:bCs/>
        </w:rPr>
        <w:t xml:space="preserve">The domain model </w:t>
      </w:r>
      <w:r>
        <w:t xml:space="preserve">— </w:t>
      </w:r>
      <w:r>
        <w:rPr>
          <w:rFonts w:ascii="Consolas" w:eastAsia="Consolas" w:hAnsi="Consolas" w:cs="Consolas"/>
          <w:color w:val="0E6BA8"/>
          <w:sz w:val="19"/>
          <w:szCs w:val="19"/>
        </w:rPr>
        <w:t>App/src/types.ts</w:t>
      </w:r>
      <w:r>
        <w:t xml:space="preserve"> is effectively the data model; it maps almost 1:1 to tables (see the Data-model outline).</w:t>
      </w:r>
    </w:p>
    <w:p w14:paraId="1BE9F251" w14:textId="77777777" w:rsidR="00EE6F5F" w:rsidRDefault="00BA30D9">
      <w:pPr>
        <w:pStyle w:val="ListParagraph"/>
        <w:numPr>
          <w:ilvl w:val="0"/>
          <w:numId w:val="2"/>
        </w:numPr>
        <w:spacing w:after="60" w:line="264" w:lineRule="auto"/>
      </w:pPr>
      <w:r>
        <w:rPr>
          <w:b/>
          <w:bCs/>
        </w:rPr>
        <w:t xml:space="preserve">The engine </w:t>
      </w:r>
      <w:r>
        <w:t xml:space="preserve">— </w:t>
      </w:r>
      <w:r>
        <w:rPr>
          <w:rFonts w:ascii="Consolas" w:eastAsia="Consolas" w:hAnsi="Consolas" w:cs="Consolas"/>
          <w:color w:val="0E6BA8"/>
          <w:sz w:val="19"/>
          <w:szCs w:val="19"/>
        </w:rPr>
        <w:t>App/src/engine.ts</w:t>
      </w:r>
      <w:r>
        <w:t xml:space="preserve">, </w:t>
      </w:r>
      <w:r>
        <w:rPr>
          <w:rFonts w:ascii="Consolas" w:eastAsia="Consolas" w:hAnsi="Consolas" w:cs="Consolas"/>
          <w:color w:val="0E6BA8"/>
          <w:sz w:val="19"/>
          <w:szCs w:val="19"/>
        </w:rPr>
        <w:t>recognition.ts</w:t>
      </w:r>
      <w:r>
        <w:t xml:space="preserve">, </w:t>
      </w:r>
      <w:r>
        <w:rPr>
          <w:rFonts w:ascii="Consolas" w:eastAsia="Consolas" w:hAnsi="Consolas" w:cs="Consolas"/>
          <w:color w:val="0E6BA8"/>
          <w:sz w:val="19"/>
          <w:szCs w:val="19"/>
        </w:rPr>
        <w:t>accruals.ts</w:t>
      </w:r>
      <w:r>
        <w:t xml:space="preserve"> hold the core business logic to port faithfully.</w:t>
      </w:r>
    </w:p>
    <w:p w14:paraId="1BE9F252" w14:textId="77777777" w:rsidR="00EE6F5F" w:rsidRDefault="00BA30D9">
      <w:pPr>
        <w:pStyle w:val="ListParagraph"/>
        <w:numPr>
          <w:ilvl w:val="0"/>
          <w:numId w:val="2"/>
        </w:numPr>
        <w:spacing w:after="60" w:line="264" w:lineRule="auto"/>
      </w:pPr>
      <w:r>
        <w:rPr>
          <w:b/>
          <w:bCs/>
        </w:rPr>
        <w:t xml:space="preserve">The seed </w:t>
      </w:r>
      <w:r>
        <w:t xml:space="preserve">— </w:t>
      </w:r>
      <w:r>
        <w:rPr>
          <w:rFonts w:ascii="Consolas" w:eastAsia="Consolas" w:hAnsi="Consolas" w:cs="Consolas"/>
          <w:color w:val="0E6BA8"/>
          <w:sz w:val="19"/>
          <w:szCs w:val="19"/>
        </w:rPr>
        <w:t>App/src/data/</w:t>
      </w:r>
      <w:r>
        <w:t xml:space="preserve"> is realistic example reference data and good test fixtures.</w:t>
      </w:r>
    </w:p>
    <w:p w14:paraId="1BE9F253" w14:textId="77777777" w:rsidR="00EE6F5F" w:rsidRDefault="00BA30D9">
      <w:pPr>
        <w:pStyle w:val="Heading1"/>
        <w:spacing w:before="300" w:after="120"/>
      </w:pPr>
      <w:bookmarkStart w:id="2" w:name="_Toc238736086"/>
      <w:r>
        <w:t>3. Keep vs discard</w:t>
      </w:r>
      <w:bookmarkEnd w:id="2"/>
    </w:p>
    <w:p w14:paraId="1BE9F254" w14:textId="77777777" w:rsidR="00EE6F5F" w:rsidRDefault="00BA30D9">
      <w:pPr>
        <w:spacing w:after="120" w:line="276" w:lineRule="auto"/>
      </w:pPr>
      <w:r>
        <w:t>Be explicit about what is specification (must hold) and what is prototype scaffolding (throw away):</w:t>
      </w:r>
    </w:p>
    <w:tbl>
      <w:tblPr>
        <w:tblW w:w="920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3432"/>
        <w:gridCol w:w="1991"/>
        <w:gridCol w:w="3777"/>
      </w:tblGrid>
      <w:tr w:rsidR="00EE6F5F" w14:paraId="1BE9F258" w14:textId="77777777">
        <w:tblPrEx>
          <w:tblCellMar>
            <w:top w:w="0" w:type="dxa"/>
            <w:bottom w:w="0" w:type="dxa"/>
          </w:tblCellMar>
        </w:tblPrEx>
        <w:trPr>
          <w:tblHeader/>
        </w:trPr>
        <w:tc>
          <w:tcPr>
            <w:tcW w:w="3400" w:type="dxa"/>
            <w:shd w:val="clear" w:color="auto" w:fill="DCE8F2"/>
            <w:tcMar>
              <w:top w:w="36" w:type="dxa"/>
              <w:left w:w="80" w:type="dxa"/>
              <w:bottom w:w="36" w:type="dxa"/>
              <w:right w:w="80" w:type="dxa"/>
            </w:tcMar>
          </w:tcPr>
          <w:p w14:paraId="1BE9F255" w14:textId="77777777" w:rsidR="00EE6F5F" w:rsidRDefault="00BA30D9">
            <w:r>
              <w:rPr>
                <w:b/>
                <w:bCs/>
                <w:sz w:val="17"/>
                <w:szCs w:val="17"/>
              </w:rPr>
              <w:t>Prototype element</w:t>
            </w:r>
          </w:p>
        </w:tc>
        <w:tc>
          <w:tcPr>
            <w:tcW w:w="2000" w:type="dxa"/>
            <w:shd w:val="clear" w:color="auto" w:fill="DCE8F2"/>
            <w:tcMar>
              <w:top w:w="36" w:type="dxa"/>
              <w:left w:w="80" w:type="dxa"/>
              <w:bottom w:w="36" w:type="dxa"/>
              <w:right w:w="80" w:type="dxa"/>
            </w:tcMar>
          </w:tcPr>
          <w:p w14:paraId="1BE9F256" w14:textId="77777777" w:rsidR="00EE6F5F" w:rsidRDefault="00BA30D9">
            <w:r>
              <w:rPr>
                <w:b/>
                <w:bCs/>
                <w:sz w:val="17"/>
                <w:szCs w:val="17"/>
              </w:rPr>
              <w:t>In production</w:t>
            </w:r>
          </w:p>
        </w:tc>
        <w:tc>
          <w:tcPr>
            <w:tcW w:w="3800" w:type="dxa"/>
            <w:shd w:val="clear" w:color="auto" w:fill="DCE8F2"/>
            <w:tcMar>
              <w:top w:w="36" w:type="dxa"/>
              <w:left w:w="80" w:type="dxa"/>
              <w:bottom w:w="36" w:type="dxa"/>
              <w:right w:w="80" w:type="dxa"/>
            </w:tcMar>
          </w:tcPr>
          <w:p w14:paraId="1BE9F257" w14:textId="77777777" w:rsidR="00EE6F5F" w:rsidRDefault="00BA30D9">
            <w:r>
              <w:rPr>
                <w:b/>
                <w:bCs/>
                <w:sz w:val="17"/>
                <w:szCs w:val="17"/>
              </w:rPr>
              <w:t>Note</w:t>
            </w:r>
          </w:p>
        </w:tc>
      </w:tr>
      <w:tr w:rsidR="00EE6F5F" w14:paraId="1BE9F25C" w14:textId="77777777">
        <w:tblPrEx>
          <w:tblCellMar>
            <w:top w:w="0" w:type="dxa"/>
            <w:bottom w:w="0" w:type="dxa"/>
          </w:tblCellMar>
        </w:tblPrEx>
        <w:tc>
          <w:tcPr>
            <w:tcW w:w="3400" w:type="dxa"/>
            <w:tcMar>
              <w:top w:w="36" w:type="dxa"/>
              <w:left w:w="80" w:type="dxa"/>
              <w:bottom w:w="36" w:type="dxa"/>
              <w:right w:w="80" w:type="dxa"/>
            </w:tcMar>
          </w:tcPr>
          <w:p w14:paraId="1BE9F259" w14:textId="77777777" w:rsidR="00EE6F5F" w:rsidRDefault="00BA30D9">
            <w:r>
              <w:rPr>
                <w:rFonts w:ascii="Consolas" w:eastAsia="Consolas" w:hAnsi="Consolas" w:cs="Consolas"/>
                <w:sz w:val="17"/>
                <w:szCs w:val="17"/>
              </w:rPr>
              <w:t>Message contract (schemas / AsyncAPI)</w:t>
            </w:r>
          </w:p>
        </w:tc>
        <w:tc>
          <w:tcPr>
            <w:tcW w:w="2000" w:type="dxa"/>
            <w:tcMar>
              <w:top w:w="36" w:type="dxa"/>
              <w:left w:w="80" w:type="dxa"/>
              <w:bottom w:w="36" w:type="dxa"/>
              <w:right w:w="80" w:type="dxa"/>
            </w:tcMar>
          </w:tcPr>
          <w:p w14:paraId="1BE9F25A" w14:textId="77777777" w:rsidR="00EE6F5F" w:rsidRDefault="00BA30D9">
            <w:r>
              <w:rPr>
                <w:sz w:val="17"/>
                <w:szCs w:val="17"/>
              </w:rPr>
              <w:t>KEEP</w:t>
            </w:r>
          </w:p>
        </w:tc>
        <w:tc>
          <w:tcPr>
            <w:tcW w:w="3800" w:type="dxa"/>
            <w:tcMar>
              <w:top w:w="36" w:type="dxa"/>
              <w:left w:w="80" w:type="dxa"/>
              <w:bottom w:w="36" w:type="dxa"/>
              <w:right w:w="80" w:type="dxa"/>
            </w:tcMar>
          </w:tcPr>
          <w:p w14:paraId="1BE9F25B" w14:textId="77777777" w:rsidR="00EE6F5F" w:rsidRDefault="00BA30D9">
            <w:r>
              <w:rPr>
                <w:sz w:val="17"/>
                <w:szCs w:val="17"/>
              </w:rPr>
              <w:t>The bus contract; version it.</w:t>
            </w:r>
          </w:p>
        </w:tc>
      </w:tr>
      <w:tr w:rsidR="00EE6F5F" w14:paraId="1BE9F260" w14:textId="77777777">
        <w:tblPrEx>
          <w:tblCellMar>
            <w:top w:w="0" w:type="dxa"/>
            <w:bottom w:w="0" w:type="dxa"/>
          </w:tblCellMar>
        </w:tblPrEx>
        <w:tc>
          <w:tcPr>
            <w:tcW w:w="3400" w:type="dxa"/>
            <w:tcMar>
              <w:top w:w="36" w:type="dxa"/>
              <w:left w:w="80" w:type="dxa"/>
              <w:bottom w:w="36" w:type="dxa"/>
              <w:right w:w="80" w:type="dxa"/>
            </w:tcMar>
          </w:tcPr>
          <w:p w14:paraId="1BE9F25D" w14:textId="77777777" w:rsidR="00EE6F5F" w:rsidRDefault="00BA30D9">
            <w:r>
              <w:rPr>
                <w:rFonts w:ascii="Consolas" w:eastAsia="Consolas" w:hAnsi="Consolas" w:cs="Consolas"/>
                <w:sz w:val="17"/>
                <w:szCs w:val="17"/>
              </w:rPr>
              <w:t>Account-resolution engine (rules→formulas→conditions→account)</w:t>
            </w:r>
          </w:p>
        </w:tc>
        <w:tc>
          <w:tcPr>
            <w:tcW w:w="2000" w:type="dxa"/>
            <w:tcMar>
              <w:top w:w="36" w:type="dxa"/>
              <w:left w:w="80" w:type="dxa"/>
              <w:bottom w:w="36" w:type="dxa"/>
              <w:right w:w="80" w:type="dxa"/>
            </w:tcMar>
          </w:tcPr>
          <w:p w14:paraId="1BE9F25E" w14:textId="77777777" w:rsidR="00EE6F5F" w:rsidRDefault="00BA30D9">
            <w:r>
              <w:rPr>
                <w:sz w:val="17"/>
                <w:szCs w:val="17"/>
              </w:rPr>
              <w:t>KEEP (port)</w:t>
            </w:r>
          </w:p>
        </w:tc>
        <w:tc>
          <w:tcPr>
            <w:tcW w:w="3800" w:type="dxa"/>
            <w:tcMar>
              <w:top w:w="36" w:type="dxa"/>
              <w:left w:w="80" w:type="dxa"/>
              <w:bottom w:w="36" w:type="dxa"/>
              <w:right w:w="80" w:type="dxa"/>
            </w:tcMar>
          </w:tcPr>
          <w:p w14:paraId="1BE9F25F" w14:textId="77777777" w:rsidR="00EE6F5F" w:rsidRDefault="00BA30D9">
            <w:r>
              <w:rPr>
                <w:sz w:val="17"/>
                <w:szCs w:val="17"/>
              </w:rPr>
              <w:t>Deterministic, pure — port the exact semantics.</w:t>
            </w:r>
          </w:p>
        </w:tc>
      </w:tr>
      <w:tr w:rsidR="00EE6F5F" w14:paraId="1BE9F264" w14:textId="77777777">
        <w:tblPrEx>
          <w:tblCellMar>
            <w:top w:w="0" w:type="dxa"/>
            <w:bottom w:w="0" w:type="dxa"/>
          </w:tblCellMar>
        </w:tblPrEx>
        <w:tc>
          <w:tcPr>
            <w:tcW w:w="3400" w:type="dxa"/>
            <w:tcMar>
              <w:top w:w="36" w:type="dxa"/>
              <w:left w:w="80" w:type="dxa"/>
              <w:bottom w:w="36" w:type="dxa"/>
              <w:right w:w="80" w:type="dxa"/>
            </w:tcMar>
          </w:tcPr>
          <w:p w14:paraId="1BE9F261" w14:textId="77777777" w:rsidR="00EE6F5F" w:rsidRDefault="00BA30D9">
            <w:r>
              <w:rPr>
                <w:rFonts w:ascii="Consolas" w:eastAsia="Consolas" w:hAnsi="Consolas" w:cs="Consolas"/>
                <w:sz w:val="17"/>
                <w:szCs w:val="17"/>
              </w:rPr>
              <w:t>Recognition accrued/deferred cutoff</w:t>
            </w:r>
          </w:p>
        </w:tc>
        <w:tc>
          <w:tcPr>
            <w:tcW w:w="2000" w:type="dxa"/>
            <w:tcMar>
              <w:top w:w="36" w:type="dxa"/>
              <w:left w:w="80" w:type="dxa"/>
              <w:bottom w:w="36" w:type="dxa"/>
              <w:right w:w="80" w:type="dxa"/>
            </w:tcMar>
          </w:tcPr>
          <w:p w14:paraId="1BE9F262" w14:textId="77777777" w:rsidR="00EE6F5F" w:rsidRDefault="00BA30D9">
            <w:r>
              <w:rPr>
                <w:sz w:val="17"/>
                <w:szCs w:val="17"/>
              </w:rPr>
              <w:t>KEEP (port)</w:t>
            </w:r>
          </w:p>
        </w:tc>
        <w:tc>
          <w:tcPr>
            <w:tcW w:w="3800" w:type="dxa"/>
            <w:tcMar>
              <w:top w:w="36" w:type="dxa"/>
              <w:left w:w="80" w:type="dxa"/>
              <w:bottom w:w="36" w:type="dxa"/>
              <w:right w:w="80" w:type="dxa"/>
            </w:tcMar>
          </w:tcPr>
          <w:p w14:paraId="1BE9F263" w14:textId="77777777" w:rsidR="00EE6F5F" w:rsidRDefault="00BA30D9">
            <w:r>
              <w:rPr>
                <w:sz w:val="17"/>
                <w:szCs w:val="17"/>
              </w:rPr>
              <w:t>Accrue-and-reverse each period.</w:t>
            </w:r>
          </w:p>
        </w:tc>
      </w:tr>
      <w:tr w:rsidR="00EE6F5F" w14:paraId="1BE9F268" w14:textId="77777777">
        <w:tblPrEx>
          <w:tblCellMar>
            <w:top w:w="0" w:type="dxa"/>
            <w:bottom w:w="0" w:type="dxa"/>
          </w:tblCellMar>
        </w:tblPrEx>
        <w:tc>
          <w:tcPr>
            <w:tcW w:w="3400" w:type="dxa"/>
            <w:tcMar>
              <w:top w:w="36" w:type="dxa"/>
              <w:left w:w="80" w:type="dxa"/>
              <w:bottom w:w="36" w:type="dxa"/>
              <w:right w:w="80" w:type="dxa"/>
            </w:tcMar>
          </w:tcPr>
          <w:p w14:paraId="1BE9F265" w14:textId="77777777" w:rsidR="00EE6F5F" w:rsidRDefault="00BA30D9">
            <w:r>
              <w:rPr>
                <w:rFonts w:ascii="Consolas" w:eastAsia="Consolas" w:hAnsi="Consolas" w:cs="Consolas"/>
                <w:sz w:val="17"/>
                <w:szCs w:val="17"/>
              </w:rPr>
              <w:t>Accrual model (deferral + condition-routed recognition)</w:t>
            </w:r>
          </w:p>
        </w:tc>
        <w:tc>
          <w:tcPr>
            <w:tcW w:w="2000" w:type="dxa"/>
            <w:tcMar>
              <w:top w:w="36" w:type="dxa"/>
              <w:left w:w="80" w:type="dxa"/>
              <w:bottom w:w="36" w:type="dxa"/>
              <w:right w:w="80" w:type="dxa"/>
            </w:tcMar>
          </w:tcPr>
          <w:p w14:paraId="1BE9F266" w14:textId="77777777" w:rsidR="00EE6F5F" w:rsidRDefault="00BA30D9">
            <w:r>
              <w:rPr>
                <w:sz w:val="17"/>
                <w:szCs w:val="17"/>
              </w:rPr>
              <w:t>KEEP (port)</w:t>
            </w:r>
          </w:p>
        </w:tc>
        <w:tc>
          <w:tcPr>
            <w:tcW w:w="3800" w:type="dxa"/>
            <w:tcMar>
              <w:top w:w="36" w:type="dxa"/>
              <w:left w:w="80" w:type="dxa"/>
              <w:bottom w:w="36" w:type="dxa"/>
              <w:right w:w="80" w:type="dxa"/>
            </w:tcMar>
          </w:tcPr>
          <w:p w14:paraId="1BE9F267" w14:textId="77777777" w:rsidR="00EE6F5F" w:rsidRDefault="00BA30D9">
            <w:r>
              <w:rPr>
                <w:sz w:val="17"/>
                <w:szCs w:val="17"/>
              </w:rPr>
              <w:t>Term from the message; snapshot at creation.</w:t>
            </w:r>
          </w:p>
        </w:tc>
      </w:tr>
      <w:tr w:rsidR="00EE6F5F" w14:paraId="1BE9F26C" w14:textId="77777777">
        <w:tblPrEx>
          <w:tblCellMar>
            <w:top w:w="0" w:type="dxa"/>
            <w:bottom w:w="0" w:type="dxa"/>
          </w:tblCellMar>
        </w:tblPrEx>
        <w:tc>
          <w:tcPr>
            <w:tcW w:w="3400" w:type="dxa"/>
            <w:tcMar>
              <w:top w:w="36" w:type="dxa"/>
              <w:left w:w="80" w:type="dxa"/>
              <w:bottom w:w="36" w:type="dxa"/>
              <w:right w:w="80" w:type="dxa"/>
            </w:tcMar>
          </w:tcPr>
          <w:p w14:paraId="1BE9F269" w14:textId="77777777" w:rsidR="00EE6F5F" w:rsidRDefault="00BA30D9">
            <w:r>
              <w:rPr>
                <w:rFonts w:ascii="Consolas" w:eastAsia="Consolas" w:hAnsi="Consolas" w:cs="Consolas"/>
                <w:sz w:val="17"/>
                <w:szCs w:val="17"/>
              </w:rPr>
              <w:t>Per-legal-entity configuration &amp; isolation</w:t>
            </w:r>
          </w:p>
        </w:tc>
        <w:tc>
          <w:tcPr>
            <w:tcW w:w="2000" w:type="dxa"/>
            <w:tcMar>
              <w:top w:w="36" w:type="dxa"/>
              <w:left w:w="80" w:type="dxa"/>
              <w:bottom w:w="36" w:type="dxa"/>
              <w:right w:w="80" w:type="dxa"/>
            </w:tcMar>
          </w:tcPr>
          <w:p w14:paraId="1BE9F26A" w14:textId="77777777" w:rsidR="00EE6F5F" w:rsidRDefault="00BA30D9">
            <w:r>
              <w:rPr>
                <w:sz w:val="17"/>
                <w:szCs w:val="17"/>
              </w:rPr>
              <w:t>KEEP</w:t>
            </w:r>
          </w:p>
        </w:tc>
        <w:tc>
          <w:tcPr>
            <w:tcW w:w="3800" w:type="dxa"/>
            <w:tcMar>
              <w:top w:w="36" w:type="dxa"/>
              <w:left w:w="80" w:type="dxa"/>
              <w:bottom w:w="36" w:type="dxa"/>
              <w:right w:w="80" w:type="dxa"/>
            </w:tcMar>
          </w:tcPr>
          <w:p w14:paraId="1BE9F26B" w14:textId="77777777" w:rsidR="00EE6F5F" w:rsidRDefault="00BA30D9">
            <w:r>
              <w:rPr>
                <w:sz w:val="17"/>
                <w:szCs w:val="17"/>
              </w:rPr>
              <w:t>Make the entity partition first-class.</w:t>
            </w:r>
          </w:p>
        </w:tc>
      </w:tr>
      <w:tr w:rsidR="00EE6F5F" w14:paraId="1BE9F270" w14:textId="77777777">
        <w:tblPrEx>
          <w:tblCellMar>
            <w:top w:w="0" w:type="dxa"/>
            <w:bottom w:w="0" w:type="dxa"/>
          </w:tblCellMar>
        </w:tblPrEx>
        <w:tc>
          <w:tcPr>
            <w:tcW w:w="3400" w:type="dxa"/>
            <w:tcMar>
              <w:top w:w="36" w:type="dxa"/>
              <w:left w:w="80" w:type="dxa"/>
              <w:bottom w:w="36" w:type="dxa"/>
              <w:right w:w="80" w:type="dxa"/>
            </w:tcMar>
          </w:tcPr>
          <w:p w14:paraId="1BE9F26D" w14:textId="77777777" w:rsidR="00EE6F5F" w:rsidRDefault="00BA30D9">
            <w:r>
              <w:rPr>
                <w:rFonts w:ascii="Consolas" w:eastAsia="Consolas" w:hAnsi="Consolas" w:cs="Consolas"/>
                <w:sz w:val="17"/>
                <w:szCs w:val="17"/>
              </w:rPr>
              <w:t>Balancing + difference flag, correlation ids</w:t>
            </w:r>
          </w:p>
        </w:tc>
        <w:tc>
          <w:tcPr>
            <w:tcW w:w="2000" w:type="dxa"/>
            <w:tcMar>
              <w:top w:w="36" w:type="dxa"/>
              <w:left w:w="80" w:type="dxa"/>
              <w:bottom w:w="36" w:type="dxa"/>
              <w:right w:w="80" w:type="dxa"/>
            </w:tcMar>
          </w:tcPr>
          <w:p w14:paraId="1BE9F26E" w14:textId="77777777" w:rsidR="00EE6F5F" w:rsidRDefault="00BA30D9">
            <w:r>
              <w:rPr>
                <w:sz w:val="17"/>
                <w:szCs w:val="17"/>
              </w:rPr>
              <w:t>KEEP</w:t>
            </w:r>
          </w:p>
        </w:tc>
        <w:tc>
          <w:tcPr>
            <w:tcW w:w="3800" w:type="dxa"/>
            <w:tcMar>
              <w:top w:w="36" w:type="dxa"/>
              <w:left w:w="80" w:type="dxa"/>
              <w:bottom w:w="36" w:type="dxa"/>
              <w:right w:w="80" w:type="dxa"/>
            </w:tcMar>
          </w:tcPr>
          <w:p w14:paraId="1BE9F26F" w14:textId="77777777" w:rsidR="00EE6F5F" w:rsidRDefault="00BA30D9">
            <w:r>
              <w:rPr>
                <w:sz w:val="17"/>
                <w:szCs w:val="17"/>
              </w:rPr>
              <w:t>Never hide an out-of-balance journal.</w:t>
            </w:r>
          </w:p>
        </w:tc>
      </w:tr>
      <w:tr w:rsidR="00EE6F5F" w14:paraId="1BE9F274" w14:textId="77777777">
        <w:tblPrEx>
          <w:tblCellMar>
            <w:top w:w="0" w:type="dxa"/>
            <w:bottom w:w="0" w:type="dxa"/>
          </w:tblCellMar>
        </w:tblPrEx>
        <w:tc>
          <w:tcPr>
            <w:tcW w:w="3400" w:type="dxa"/>
            <w:tcMar>
              <w:top w:w="36" w:type="dxa"/>
              <w:left w:w="80" w:type="dxa"/>
              <w:bottom w:w="36" w:type="dxa"/>
              <w:right w:w="80" w:type="dxa"/>
            </w:tcMar>
          </w:tcPr>
          <w:p w14:paraId="1BE9F271" w14:textId="77777777" w:rsidR="00EE6F5F" w:rsidRDefault="00BA30D9">
            <w:r>
              <w:rPr>
                <w:rFonts w:ascii="Consolas" w:eastAsia="Consolas" w:hAnsi="Consolas" w:cs="Consolas"/>
                <w:sz w:val="17"/>
                <w:szCs w:val="17"/>
              </w:rPr>
              <w:t>Screen inventory &amp; what each does</w:t>
            </w:r>
          </w:p>
        </w:tc>
        <w:tc>
          <w:tcPr>
            <w:tcW w:w="2000" w:type="dxa"/>
            <w:tcMar>
              <w:top w:w="36" w:type="dxa"/>
              <w:left w:w="80" w:type="dxa"/>
              <w:bottom w:w="36" w:type="dxa"/>
              <w:right w:w="80" w:type="dxa"/>
            </w:tcMar>
          </w:tcPr>
          <w:p w14:paraId="1BE9F272" w14:textId="77777777" w:rsidR="00EE6F5F" w:rsidRDefault="00BA30D9">
            <w:r>
              <w:rPr>
                <w:sz w:val="17"/>
                <w:szCs w:val="17"/>
              </w:rPr>
              <w:t>KEEP (as UX spec)</w:t>
            </w:r>
          </w:p>
        </w:tc>
        <w:tc>
          <w:tcPr>
            <w:tcW w:w="3800" w:type="dxa"/>
            <w:tcMar>
              <w:top w:w="36" w:type="dxa"/>
              <w:left w:w="80" w:type="dxa"/>
              <w:bottom w:w="36" w:type="dxa"/>
              <w:right w:w="80" w:type="dxa"/>
            </w:tcMar>
          </w:tcPr>
          <w:p w14:paraId="1BE9F273" w14:textId="77777777" w:rsidR="00EE6F5F" w:rsidRDefault="00BA30D9">
            <w:r>
              <w:rPr>
                <w:sz w:val="17"/>
                <w:szCs w:val="17"/>
              </w:rPr>
              <w:t>Rebuild UI properly; behaviour is the spec.</w:t>
            </w:r>
          </w:p>
        </w:tc>
      </w:tr>
      <w:tr w:rsidR="00EE6F5F" w14:paraId="1BE9F278" w14:textId="77777777">
        <w:tblPrEx>
          <w:tblCellMar>
            <w:top w:w="0" w:type="dxa"/>
            <w:bottom w:w="0" w:type="dxa"/>
          </w:tblCellMar>
        </w:tblPrEx>
        <w:tc>
          <w:tcPr>
            <w:tcW w:w="3400" w:type="dxa"/>
            <w:tcMar>
              <w:top w:w="36" w:type="dxa"/>
              <w:left w:w="80" w:type="dxa"/>
              <w:bottom w:w="36" w:type="dxa"/>
              <w:right w:w="80" w:type="dxa"/>
            </w:tcMar>
          </w:tcPr>
          <w:p w14:paraId="1BE9F275" w14:textId="77777777" w:rsidR="00EE6F5F" w:rsidRDefault="00BA30D9">
            <w:r>
              <w:rPr>
                <w:rFonts w:ascii="Consolas" w:eastAsia="Consolas" w:hAnsi="Consolas" w:cs="Consolas"/>
                <w:sz w:val="17"/>
                <w:szCs w:val="17"/>
              </w:rPr>
              <w:t>localStorage persistence + in-browser seed/reset</w:t>
            </w:r>
          </w:p>
        </w:tc>
        <w:tc>
          <w:tcPr>
            <w:tcW w:w="2000" w:type="dxa"/>
            <w:tcMar>
              <w:top w:w="36" w:type="dxa"/>
              <w:left w:w="80" w:type="dxa"/>
              <w:bottom w:w="36" w:type="dxa"/>
              <w:right w:w="80" w:type="dxa"/>
            </w:tcMar>
          </w:tcPr>
          <w:p w14:paraId="1BE9F276" w14:textId="77777777" w:rsidR="00EE6F5F" w:rsidRDefault="00BA30D9">
            <w:r>
              <w:rPr>
                <w:sz w:val="17"/>
                <w:szCs w:val="17"/>
              </w:rPr>
              <w:t>DISCARD</w:t>
            </w:r>
          </w:p>
        </w:tc>
        <w:tc>
          <w:tcPr>
            <w:tcW w:w="3800" w:type="dxa"/>
            <w:tcMar>
              <w:top w:w="36" w:type="dxa"/>
              <w:left w:w="80" w:type="dxa"/>
              <w:bottom w:w="36" w:type="dxa"/>
              <w:right w:w="80" w:type="dxa"/>
            </w:tcMar>
          </w:tcPr>
          <w:p w14:paraId="1BE9F277" w14:textId="77777777" w:rsidR="00EE6F5F" w:rsidRDefault="00BA30D9">
            <w:r>
              <w:rPr>
                <w:sz w:val="17"/>
                <w:szCs w:val="17"/>
              </w:rPr>
              <w:t>Replaced by the database.</w:t>
            </w:r>
          </w:p>
        </w:tc>
      </w:tr>
      <w:tr w:rsidR="00EE6F5F" w14:paraId="1BE9F27C" w14:textId="77777777">
        <w:tblPrEx>
          <w:tblCellMar>
            <w:top w:w="0" w:type="dxa"/>
            <w:bottom w:w="0" w:type="dxa"/>
          </w:tblCellMar>
        </w:tblPrEx>
        <w:tc>
          <w:tcPr>
            <w:tcW w:w="3400" w:type="dxa"/>
            <w:tcMar>
              <w:top w:w="36" w:type="dxa"/>
              <w:left w:w="80" w:type="dxa"/>
              <w:bottom w:w="36" w:type="dxa"/>
              <w:right w:w="80" w:type="dxa"/>
            </w:tcMar>
          </w:tcPr>
          <w:p w14:paraId="1BE9F279" w14:textId="77777777" w:rsidR="00EE6F5F" w:rsidRDefault="00BA30D9">
            <w:r>
              <w:rPr>
                <w:rFonts w:ascii="Consolas" w:eastAsia="Consolas" w:hAnsi="Consolas" w:cs="Consolas"/>
                <w:sz w:val="17"/>
                <w:szCs w:val="17"/>
              </w:rPr>
              <w:t>Engine running in the browser</w:t>
            </w:r>
          </w:p>
        </w:tc>
        <w:tc>
          <w:tcPr>
            <w:tcW w:w="2000" w:type="dxa"/>
            <w:tcMar>
              <w:top w:w="36" w:type="dxa"/>
              <w:left w:w="80" w:type="dxa"/>
              <w:bottom w:w="36" w:type="dxa"/>
              <w:right w:w="80" w:type="dxa"/>
            </w:tcMar>
          </w:tcPr>
          <w:p w14:paraId="1BE9F27A" w14:textId="77777777" w:rsidR="00EE6F5F" w:rsidRDefault="00BA30D9">
            <w:r>
              <w:rPr>
                <w:sz w:val="17"/>
                <w:szCs w:val="17"/>
              </w:rPr>
              <w:t>REPLACE</w:t>
            </w:r>
          </w:p>
        </w:tc>
        <w:tc>
          <w:tcPr>
            <w:tcW w:w="3800" w:type="dxa"/>
            <w:tcMar>
              <w:top w:w="36" w:type="dxa"/>
              <w:left w:w="80" w:type="dxa"/>
              <w:bottom w:w="36" w:type="dxa"/>
              <w:right w:w="80" w:type="dxa"/>
            </w:tcMar>
          </w:tcPr>
          <w:p w14:paraId="1BE9F27B" w14:textId="77777777" w:rsidR="00EE6F5F" w:rsidRDefault="00BA30D9">
            <w:r>
              <w:rPr>
                <w:sz w:val="17"/>
                <w:szCs w:val="17"/>
              </w:rPr>
              <w:t>Becomes a server-side service.</w:t>
            </w:r>
          </w:p>
        </w:tc>
      </w:tr>
      <w:tr w:rsidR="00EE6F5F" w14:paraId="1BE9F280" w14:textId="77777777">
        <w:tblPrEx>
          <w:tblCellMar>
            <w:top w:w="0" w:type="dxa"/>
            <w:bottom w:w="0" w:type="dxa"/>
          </w:tblCellMar>
        </w:tblPrEx>
        <w:tc>
          <w:tcPr>
            <w:tcW w:w="3400" w:type="dxa"/>
            <w:tcMar>
              <w:top w:w="36" w:type="dxa"/>
              <w:left w:w="80" w:type="dxa"/>
              <w:bottom w:w="36" w:type="dxa"/>
              <w:right w:w="80" w:type="dxa"/>
            </w:tcMar>
          </w:tcPr>
          <w:p w14:paraId="1BE9F27D" w14:textId="77777777" w:rsidR="00EE6F5F" w:rsidRDefault="00BA30D9">
            <w:r>
              <w:rPr>
                <w:rFonts w:ascii="Consolas" w:eastAsia="Consolas" w:hAnsi="Consolas" w:cs="Consolas"/>
                <w:sz w:val="17"/>
                <w:szCs w:val="17"/>
              </w:rPr>
              <w:t>UI-only conveniences / demo shortcuts</w:t>
            </w:r>
          </w:p>
        </w:tc>
        <w:tc>
          <w:tcPr>
            <w:tcW w:w="2000" w:type="dxa"/>
            <w:tcMar>
              <w:top w:w="36" w:type="dxa"/>
              <w:left w:w="80" w:type="dxa"/>
              <w:bottom w:w="36" w:type="dxa"/>
              <w:right w:w="80" w:type="dxa"/>
            </w:tcMar>
          </w:tcPr>
          <w:p w14:paraId="1BE9F27E" w14:textId="77777777" w:rsidR="00EE6F5F" w:rsidRDefault="00BA30D9">
            <w:r>
              <w:rPr>
                <w:sz w:val="17"/>
                <w:szCs w:val="17"/>
              </w:rPr>
              <w:t>DISCARD</w:t>
            </w:r>
          </w:p>
        </w:tc>
        <w:tc>
          <w:tcPr>
            <w:tcW w:w="3800" w:type="dxa"/>
            <w:tcMar>
              <w:top w:w="36" w:type="dxa"/>
              <w:left w:w="80" w:type="dxa"/>
              <w:bottom w:w="36" w:type="dxa"/>
              <w:right w:w="80" w:type="dxa"/>
            </w:tcMar>
          </w:tcPr>
          <w:p w14:paraId="1BE9F27F" w14:textId="77777777" w:rsidR="00EE6F5F" w:rsidRDefault="00BA30D9">
            <w:r>
              <w:rPr>
                <w:sz w:val="17"/>
                <w:szCs w:val="17"/>
              </w:rPr>
              <w:t>Not architecture.</w:t>
            </w:r>
          </w:p>
        </w:tc>
      </w:tr>
    </w:tbl>
    <w:p w14:paraId="1BE9F281" w14:textId="77777777" w:rsidR="00EE6F5F" w:rsidRDefault="00BA30D9">
      <w:pPr>
        <w:pStyle w:val="Heading1"/>
        <w:spacing w:before="300" w:after="120"/>
      </w:pPr>
      <w:bookmarkStart w:id="3" w:name="_Toc238736087"/>
      <w:r>
        <w:t>4. Architecture pointers for the real build</w:t>
      </w:r>
      <w:bookmarkEnd w:id="3"/>
    </w:p>
    <w:p w14:paraId="1BE9F282" w14:textId="77777777" w:rsidR="00EE6F5F" w:rsidRDefault="00BA30D9">
      <w:pPr>
        <w:pStyle w:val="ListParagraph"/>
        <w:numPr>
          <w:ilvl w:val="0"/>
          <w:numId w:val="2"/>
        </w:numPr>
        <w:spacing w:after="60" w:line="264" w:lineRule="auto"/>
      </w:pPr>
      <w:r>
        <w:rPr>
          <w:b/>
          <w:bCs/>
        </w:rPr>
        <w:t xml:space="preserve">Database. </w:t>
      </w:r>
      <w:r>
        <w:t xml:space="preserve">The </w:t>
      </w:r>
      <w:r>
        <w:rPr>
          <w:rFonts w:ascii="Consolas" w:eastAsia="Consolas" w:hAnsi="Consolas" w:cs="Consolas"/>
          <w:color w:val="0E6BA8"/>
          <w:sz w:val="19"/>
          <w:szCs w:val="19"/>
        </w:rPr>
        <w:t>types.ts</w:t>
      </w:r>
      <w:r>
        <w:t xml:space="preserve"> interfaces become tables almost directly (see the Data-model outline). All configuration is per legal entity — partition on it.</w:t>
      </w:r>
    </w:p>
    <w:p w14:paraId="1BE9F283" w14:textId="77777777" w:rsidR="00EE6F5F" w:rsidRDefault="00BA30D9">
      <w:pPr>
        <w:pStyle w:val="ListParagraph"/>
        <w:numPr>
          <w:ilvl w:val="0"/>
          <w:numId w:val="2"/>
        </w:numPr>
        <w:spacing w:after="60" w:line="264" w:lineRule="auto"/>
      </w:pPr>
      <w:r>
        <w:rPr>
          <w:b/>
          <w:bCs/>
        </w:rPr>
        <w:t xml:space="preserve">Engine as a service. </w:t>
      </w:r>
      <w:r>
        <w:t>Keep the engine deterministic and side-effect-free (message in → journal out). That is why the Simulator and a dry-run endpoint can be the same code, and it is fully unit-testable.</w:t>
      </w:r>
    </w:p>
    <w:p w14:paraId="1BE9F284" w14:textId="77777777" w:rsidR="00EE6F5F" w:rsidRDefault="00BA30D9">
      <w:pPr>
        <w:pStyle w:val="ListParagraph"/>
        <w:numPr>
          <w:ilvl w:val="0"/>
          <w:numId w:val="2"/>
        </w:numPr>
        <w:spacing w:after="60" w:line="264" w:lineRule="auto"/>
      </w:pPr>
      <w:r>
        <w:rPr>
          <w:b/>
          <w:bCs/>
        </w:rPr>
        <w:t xml:space="preserve">Messaging. </w:t>
      </w:r>
      <w:r>
        <w:t xml:space="preserve">The AsyncAPI / JSON Schema is the contract. Add a real </w:t>
      </w:r>
      <w:r>
        <w:rPr>
          <w:rFonts w:ascii="Consolas" w:eastAsia="Consolas" w:hAnsi="Consolas" w:cs="Consolas"/>
          <w:color w:val="0E6BA8"/>
          <w:sz w:val="19"/>
          <w:szCs w:val="19"/>
        </w:rPr>
        <w:t>/messages/validate</w:t>
      </w:r>
      <w:r>
        <w:t xml:space="preserve"> dry-run endpoint, idempotency on </w:t>
      </w:r>
      <w:r>
        <w:rPr>
          <w:rFonts w:ascii="Consolas" w:eastAsia="Consolas" w:hAnsi="Consolas" w:cs="Consolas"/>
          <w:color w:val="0E6BA8"/>
          <w:sz w:val="19"/>
          <w:szCs w:val="19"/>
        </w:rPr>
        <w:t>messageId</w:t>
      </w:r>
      <w:r>
        <w:t xml:space="preserve">, and honour </w:t>
      </w:r>
      <w:r>
        <w:rPr>
          <w:rFonts w:ascii="Consolas" w:eastAsia="Consolas" w:hAnsi="Consolas" w:cs="Consolas"/>
          <w:color w:val="0E6BA8"/>
          <w:sz w:val="19"/>
          <w:szCs w:val="19"/>
        </w:rPr>
        <w:t>schemaVersion</w:t>
      </w:r>
      <w:r>
        <w:t>.</w:t>
      </w:r>
    </w:p>
    <w:p w14:paraId="1BE9F285" w14:textId="77777777" w:rsidR="00EE6F5F" w:rsidRDefault="00BA30D9">
      <w:pPr>
        <w:pStyle w:val="ListParagraph"/>
        <w:numPr>
          <w:ilvl w:val="0"/>
          <w:numId w:val="2"/>
        </w:numPr>
        <w:spacing w:after="60" w:line="264" w:lineRule="auto"/>
      </w:pPr>
      <w:r>
        <w:rPr>
          <w:b/>
          <w:bCs/>
        </w:rPr>
        <w:lastRenderedPageBreak/>
        <w:t xml:space="preserve">Multi-ledger from day one. </w:t>
      </w:r>
      <w:r>
        <w:t>Account resolution and the cutoff already assume per-ledger rules — do not collapse that.</w:t>
      </w:r>
    </w:p>
    <w:p w14:paraId="1BE9F286" w14:textId="77777777" w:rsidR="00EE6F5F" w:rsidRDefault="00BA30D9">
      <w:pPr>
        <w:pStyle w:val="Heading1"/>
        <w:spacing w:before="300" w:after="120"/>
      </w:pPr>
      <w:bookmarkStart w:id="4" w:name="_Toc238736088"/>
      <w:r>
        <w:t>5. Invariants to preserve (the subtle bits)</w:t>
      </w:r>
      <w:bookmarkEnd w:id="4"/>
    </w:p>
    <w:p w14:paraId="1BE9F287" w14:textId="77777777" w:rsidR="00EE6F5F" w:rsidRDefault="00BA30D9">
      <w:pPr>
        <w:pStyle w:val="ListParagraph"/>
        <w:numPr>
          <w:ilvl w:val="0"/>
          <w:numId w:val="2"/>
        </w:numPr>
        <w:spacing w:after="60" w:line="264" w:lineRule="auto"/>
      </w:pPr>
      <w:r>
        <w:rPr>
          <w:b/>
          <w:bCs/>
        </w:rPr>
        <w:t xml:space="preserve">Condition resolution semantics </w:t>
      </w:r>
      <w:r>
        <w:t>— guard rows, grouping, and the default-account fallback (</w:t>
      </w:r>
      <w:r>
        <w:rPr>
          <w:rFonts w:ascii="Consolas" w:eastAsia="Consolas" w:hAnsi="Consolas" w:cs="Consolas"/>
          <w:color w:val="0E6BA8"/>
          <w:sz w:val="19"/>
          <w:szCs w:val="19"/>
        </w:rPr>
        <w:t>resolveConditionAccount</w:t>
      </w:r>
      <w:r>
        <w:t>). Port exactly; it is subtle.</w:t>
      </w:r>
    </w:p>
    <w:p w14:paraId="1BE9F288" w14:textId="77777777" w:rsidR="00EE6F5F" w:rsidRDefault="00BA30D9">
      <w:pPr>
        <w:pStyle w:val="ListParagraph"/>
        <w:numPr>
          <w:ilvl w:val="0"/>
          <w:numId w:val="2"/>
        </w:numPr>
        <w:spacing w:after="60" w:line="264" w:lineRule="auto"/>
      </w:pPr>
      <w:r>
        <w:rPr>
          <w:b/>
          <w:bCs/>
        </w:rPr>
        <w:t xml:space="preserve">Balancing </w:t>
      </w:r>
      <w:r>
        <w:t>— an unbalanced journal is flagged, not hidden.</w:t>
      </w:r>
    </w:p>
    <w:p w14:paraId="1BE9F289" w14:textId="77777777" w:rsidR="00EE6F5F" w:rsidRDefault="00BA30D9">
      <w:pPr>
        <w:pStyle w:val="ListParagraph"/>
        <w:numPr>
          <w:ilvl w:val="0"/>
          <w:numId w:val="2"/>
        </w:numPr>
        <w:spacing w:after="60" w:line="264" w:lineRule="auto"/>
      </w:pPr>
      <w:r>
        <w:rPr>
          <w:b/>
          <w:bCs/>
        </w:rPr>
        <w:t xml:space="preserve">Accrue-and-reverse </w:t>
      </w:r>
      <w:r>
        <w:t>recognition cutoff — the position is always the current one.</w:t>
      </w:r>
    </w:p>
    <w:p w14:paraId="1BE9F28A" w14:textId="77777777" w:rsidR="00EE6F5F" w:rsidRDefault="00BA30D9">
      <w:pPr>
        <w:pStyle w:val="ListParagraph"/>
        <w:numPr>
          <w:ilvl w:val="0"/>
          <w:numId w:val="2"/>
        </w:numPr>
        <w:spacing w:after="60" w:line="264" w:lineRule="auto"/>
      </w:pPr>
      <w:r>
        <w:rPr>
          <w:b/>
          <w:bCs/>
        </w:rPr>
        <w:t xml:space="preserve">Snapshot at creation </w:t>
      </w:r>
      <w:r>
        <w:t>— recognition condition inputs and accrual message context are frozen on the item so later runs are deterministic.</w:t>
      </w:r>
    </w:p>
    <w:p w14:paraId="1BE9F28B" w14:textId="77777777" w:rsidR="00EE6F5F" w:rsidRDefault="00BA30D9">
      <w:pPr>
        <w:pStyle w:val="Heading1"/>
        <w:spacing w:before="300" w:after="120"/>
      </w:pPr>
      <w:bookmarkStart w:id="5" w:name="_Toc238736089"/>
      <w:r>
        <w:t>6. Run guide</w:t>
      </w:r>
      <w:bookmarkEnd w:id="5"/>
    </w:p>
    <w:p w14:paraId="1BE9F28C" w14:textId="77777777" w:rsidR="00EE6F5F" w:rsidRDefault="00BA30D9">
      <w:pPr>
        <w:spacing w:after="120" w:line="276" w:lineRule="auto"/>
      </w:pPr>
      <w:r>
        <w:t>Node.js required. In a terminal:</w:t>
      </w:r>
    </w:p>
    <w:p w14:paraId="1BE9F28D" w14:textId="77777777" w:rsidR="00EE6F5F" w:rsidRDefault="00BA30D9">
      <w:pPr>
        <w:shd w:val="clear" w:color="auto" w:fill="EEF4F9"/>
        <w:spacing w:before="60"/>
        <w:ind w:left="120" w:right="120"/>
      </w:pPr>
      <w:r>
        <w:rPr>
          <w:rFonts w:ascii="Consolas" w:eastAsia="Consolas" w:hAnsi="Consolas" w:cs="Consolas"/>
          <w:sz w:val="18"/>
          <w:szCs w:val="18"/>
        </w:rPr>
        <w:t>cd App</w:t>
      </w:r>
    </w:p>
    <w:p w14:paraId="1BE9F28E" w14:textId="77777777" w:rsidR="00EE6F5F" w:rsidRDefault="00BA30D9">
      <w:pPr>
        <w:shd w:val="clear" w:color="auto" w:fill="EEF4F9"/>
        <w:ind w:left="120" w:right="120"/>
      </w:pPr>
      <w:r>
        <w:rPr>
          <w:rFonts w:ascii="Consolas" w:eastAsia="Consolas" w:hAnsi="Consolas" w:cs="Consolas"/>
          <w:sz w:val="18"/>
          <w:szCs w:val="18"/>
        </w:rPr>
        <w:t>npm install      # first time only</w:t>
      </w:r>
    </w:p>
    <w:p w14:paraId="1BE9F28F" w14:textId="77777777" w:rsidR="00EE6F5F" w:rsidRDefault="00BA30D9">
      <w:pPr>
        <w:shd w:val="clear" w:color="auto" w:fill="EEF4F9"/>
        <w:ind w:left="120" w:right="120"/>
      </w:pPr>
      <w:r>
        <w:rPr>
          <w:rFonts w:ascii="Consolas" w:eastAsia="Consolas" w:hAnsi="Consolas" w:cs="Consolas"/>
          <w:sz w:val="18"/>
          <w:szCs w:val="18"/>
        </w:rPr>
        <w:t>npm run dev      # serves on http://localhost:5173</w:t>
      </w:r>
    </w:p>
    <w:p w14:paraId="1BE9F290" w14:textId="77777777" w:rsidR="00EE6F5F" w:rsidRDefault="00BA30D9">
      <w:pPr>
        <w:spacing w:after="120" w:line="276" w:lineRule="auto"/>
      </w:pPr>
      <w:r>
        <w:t xml:space="preserve">Open the printed URL. All data is in the browser; </w:t>
      </w:r>
      <w:r>
        <w:rPr>
          <w:b/>
          <w:bCs/>
        </w:rPr>
        <w:t>Settings → Reset data</w:t>
      </w:r>
      <w:r>
        <w:t xml:space="preserve"> rebuilds from the seed. Start with </w:t>
      </w:r>
      <w:r>
        <w:rPr>
          <w:b/>
          <w:bCs/>
        </w:rPr>
        <w:t>Journals → Message simulator</w:t>
      </w:r>
      <w:r>
        <w:t xml:space="preserve"> to see a message become a journal, then walk one agreement lifecycle (Activation → Invoicing → AR Payment → Monthly Booking).</w:t>
      </w:r>
    </w:p>
    <w:p w14:paraId="1BE9F291" w14:textId="77777777" w:rsidR="00EE6F5F" w:rsidRDefault="00BA30D9">
      <w:pPr>
        <w:pStyle w:val="Heading1"/>
        <w:spacing w:before="300" w:after="120"/>
      </w:pPr>
      <w:bookmarkStart w:id="6" w:name="_Toc238736090"/>
      <w:r>
        <w:t>7. Handover mechanics</w:t>
      </w:r>
      <w:bookmarkEnd w:id="6"/>
    </w:p>
    <w:p w14:paraId="1BE9F292" w14:textId="77777777" w:rsidR="00EE6F5F" w:rsidRDefault="00BA30D9">
      <w:pPr>
        <w:pStyle w:val="ListParagraph"/>
        <w:numPr>
          <w:ilvl w:val="0"/>
          <w:numId w:val="2"/>
        </w:numPr>
        <w:spacing w:after="60" w:line="264" w:lineRule="auto"/>
      </w:pPr>
      <w:r>
        <w:rPr>
          <w:b/>
          <w:bCs/>
        </w:rPr>
        <w:t xml:space="preserve">Git repository. </w:t>
      </w:r>
      <w:r>
        <w:t xml:space="preserve">The prototype is delivered as a git repo with an initial commit — clone it as the versioned baseline. </w:t>
      </w:r>
      <w:r>
        <w:rPr>
          <w:rFonts w:ascii="Consolas" w:eastAsia="Consolas" w:hAnsi="Consolas" w:cs="Consolas"/>
          <w:color w:val="0E6BA8"/>
          <w:sz w:val="19"/>
          <w:szCs w:val="19"/>
        </w:rPr>
        <w:t>node_modules</w:t>
      </w:r>
      <w:r>
        <w:t xml:space="preserve"> is git-ignored; run </w:t>
      </w:r>
      <w:r>
        <w:rPr>
          <w:rFonts w:ascii="Consolas" w:eastAsia="Consolas" w:hAnsi="Consolas" w:cs="Consolas"/>
          <w:color w:val="0E6BA8"/>
          <w:sz w:val="19"/>
          <w:szCs w:val="19"/>
        </w:rPr>
        <w:t>npm install</w:t>
      </w:r>
      <w:r>
        <w:t xml:space="preserve"> to restore it.</w:t>
      </w:r>
    </w:p>
    <w:p w14:paraId="1BE9F293" w14:textId="77777777" w:rsidR="00EE6F5F" w:rsidRDefault="00BA30D9">
      <w:pPr>
        <w:pStyle w:val="ListParagraph"/>
        <w:numPr>
          <w:ilvl w:val="0"/>
          <w:numId w:val="2"/>
        </w:numPr>
        <w:spacing w:after="60" w:line="264" w:lineRule="auto"/>
      </w:pPr>
      <w:r>
        <w:rPr>
          <w:b/>
          <w:bCs/>
        </w:rPr>
        <w:t xml:space="preserve">Publishing. </w:t>
      </w:r>
      <w:r>
        <w:t>Pushing to GitHub / Azure DevOps is a separate step (add a remote and push) — done deliberately, not automatically.</w:t>
      </w:r>
    </w:p>
    <w:p w14:paraId="1BE9F294" w14:textId="77777777" w:rsidR="00EE6F5F" w:rsidRDefault="00BA30D9">
      <w:pPr>
        <w:pStyle w:val="ListParagraph"/>
        <w:numPr>
          <w:ilvl w:val="0"/>
          <w:numId w:val="2"/>
        </w:numPr>
        <w:spacing w:after="60" w:line="264" w:lineRule="auto"/>
      </w:pPr>
      <w:r>
        <w:rPr>
          <w:b/>
          <w:bCs/>
        </w:rPr>
        <w:t xml:space="preserve">Kickoff. </w:t>
      </w:r>
      <w:r>
        <w:t>A short live walkthrough (the simulator + one lifecycle) beats a wall of text — pair it with this document.</w:t>
      </w:r>
    </w:p>
    <w:p w14:paraId="1BE9F295" w14:textId="77777777" w:rsidR="00EE6F5F" w:rsidRDefault="00BA30D9">
      <w:pPr>
        <w:spacing w:before="240"/>
      </w:pPr>
      <w:r>
        <w:rPr>
          <w:i/>
          <w:iCs/>
          <w:color w:val="5A6472"/>
          <w:sz w:val="18"/>
          <w:szCs w:val="18"/>
        </w:rPr>
        <w:t>Tieto · One Credit Engine — accounting-domain prototype handover.</w:t>
      </w:r>
    </w:p>
    <w:sectPr w:rsidR="00EE6F5F">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05525"/>
    <w:multiLevelType w:val="hybridMultilevel"/>
    <w:tmpl w:val="6666F68C"/>
    <w:lvl w:ilvl="0" w:tplc="E1D68700">
      <w:start w:val="1"/>
      <w:numFmt w:val="bullet"/>
      <w:lvlText w:val="•"/>
      <w:lvlJc w:val="left"/>
      <w:pPr>
        <w:ind w:left="460" w:hanging="260"/>
      </w:pPr>
      <w:rPr>
        <w:color w:val="00395D"/>
      </w:rPr>
    </w:lvl>
    <w:lvl w:ilvl="1" w:tplc="93B62A02">
      <w:numFmt w:val="decimal"/>
      <w:lvlText w:val=""/>
      <w:lvlJc w:val="left"/>
    </w:lvl>
    <w:lvl w:ilvl="2" w:tplc="18E6A718">
      <w:numFmt w:val="decimal"/>
      <w:lvlText w:val=""/>
      <w:lvlJc w:val="left"/>
    </w:lvl>
    <w:lvl w:ilvl="3" w:tplc="D644A8DC">
      <w:numFmt w:val="decimal"/>
      <w:lvlText w:val=""/>
      <w:lvlJc w:val="left"/>
    </w:lvl>
    <w:lvl w:ilvl="4" w:tplc="9148F510">
      <w:numFmt w:val="decimal"/>
      <w:lvlText w:val=""/>
      <w:lvlJc w:val="left"/>
    </w:lvl>
    <w:lvl w:ilvl="5" w:tplc="1B340B5E">
      <w:numFmt w:val="decimal"/>
      <w:lvlText w:val=""/>
      <w:lvlJc w:val="left"/>
    </w:lvl>
    <w:lvl w:ilvl="6" w:tplc="6346E4AC">
      <w:numFmt w:val="decimal"/>
      <w:lvlText w:val=""/>
      <w:lvlJc w:val="left"/>
    </w:lvl>
    <w:lvl w:ilvl="7" w:tplc="5666F658">
      <w:numFmt w:val="decimal"/>
      <w:lvlText w:val=""/>
      <w:lvlJc w:val="left"/>
    </w:lvl>
    <w:lvl w:ilvl="8" w:tplc="18C6E0BC">
      <w:numFmt w:val="decimal"/>
      <w:lvlText w:val=""/>
      <w:lvlJc w:val="left"/>
    </w:lvl>
  </w:abstractNum>
  <w:abstractNum w:abstractNumId="1" w15:restartNumberingAfterBreak="0">
    <w:nsid w:val="78FE0631"/>
    <w:multiLevelType w:val="hybridMultilevel"/>
    <w:tmpl w:val="712C01DA"/>
    <w:lvl w:ilvl="0" w:tplc="5E6CBB62">
      <w:start w:val="1"/>
      <w:numFmt w:val="bullet"/>
      <w:lvlText w:val="●"/>
      <w:lvlJc w:val="left"/>
      <w:pPr>
        <w:ind w:left="720" w:hanging="360"/>
      </w:pPr>
    </w:lvl>
    <w:lvl w:ilvl="1" w:tplc="46F23BC2">
      <w:start w:val="1"/>
      <w:numFmt w:val="bullet"/>
      <w:lvlText w:val="○"/>
      <w:lvlJc w:val="left"/>
      <w:pPr>
        <w:ind w:left="1440" w:hanging="360"/>
      </w:pPr>
    </w:lvl>
    <w:lvl w:ilvl="2" w:tplc="F5E03350">
      <w:start w:val="1"/>
      <w:numFmt w:val="bullet"/>
      <w:lvlText w:val="■"/>
      <w:lvlJc w:val="left"/>
      <w:pPr>
        <w:ind w:left="2160" w:hanging="360"/>
      </w:pPr>
    </w:lvl>
    <w:lvl w:ilvl="3" w:tplc="D6C49528">
      <w:start w:val="1"/>
      <w:numFmt w:val="bullet"/>
      <w:lvlText w:val="●"/>
      <w:lvlJc w:val="left"/>
      <w:pPr>
        <w:ind w:left="2880" w:hanging="360"/>
      </w:pPr>
    </w:lvl>
    <w:lvl w:ilvl="4" w:tplc="B67C675A">
      <w:start w:val="1"/>
      <w:numFmt w:val="bullet"/>
      <w:lvlText w:val="○"/>
      <w:lvlJc w:val="left"/>
      <w:pPr>
        <w:ind w:left="3600" w:hanging="360"/>
      </w:pPr>
    </w:lvl>
    <w:lvl w:ilvl="5" w:tplc="72F0EB3A">
      <w:start w:val="1"/>
      <w:numFmt w:val="bullet"/>
      <w:lvlText w:val="■"/>
      <w:lvlJc w:val="left"/>
      <w:pPr>
        <w:ind w:left="4320" w:hanging="360"/>
      </w:pPr>
    </w:lvl>
    <w:lvl w:ilvl="6" w:tplc="98D6F590">
      <w:start w:val="1"/>
      <w:numFmt w:val="bullet"/>
      <w:lvlText w:val="●"/>
      <w:lvlJc w:val="left"/>
      <w:pPr>
        <w:ind w:left="5040" w:hanging="360"/>
      </w:pPr>
    </w:lvl>
    <w:lvl w:ilvl="7" w:tplc="2820C1B6">
      <w:start w:val="1"/>
      <w:numFmt w:val="bullet"/>
      <w:lvlText w:val="●"/>
      <w:lvlJc w:val="left"/>
      <w:pPr>
        <w:ind w:left="5760" w:hanging="360"/>
      </w:pPr>
    </w:lvl>
    <w:lvl w:ilvl="8" w:tplc="ED08E182">
      <w:start w:val="1"/>
      <w:numFmt w:val="bullet"/>
      <w:lvlText w:val="●"/>
      <w:lvlJc w:val="left"/>
      <w:pPr>
        <w:ind w:left="6480" w:hanging="360"/>
      </w:pPr>
    </w:lvl>
  </w:abstractNum>
  <w:num w:numId="1" w16cid:durableId="1898666017">
    <w:abstractNumId w:val="1"/>
    <w:lvlOverride w:ilvl="0">
      <w:startOverride w:val="1"/>
    </w:lvlOverride>
  </w:num>
  <w:num w:numId="2" w16cid:durableId="408621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F5F"/>
    <w:rsid w:val="003076EF"/>
    <w:rsid w:val="00841037"/>
    <w:rsid w:val="00BA30D9"/>
    <w:rsid w:val="00EE6F5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9F243"/>
  <w15:docId w15:val="{FF7129B6-C648-48EA-A0D3-BE8AF5D3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1"/>
        <w:szCs w:val="21"/>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395D"/>
      <w:sz w:val="30"/>
      <w:szCs w:val="30"/>
    </w:rPr>
  </w:style>
  <w:style w:type="paragraph" w:styleId="Heading2">
    <w:name w:val="heading 2"/>
    <w:uiPriority w:val="9"/>
    <w:semiHidden/>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76E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4275</Characters>
  <Application>Microsoft Office Word</Application>
  <DocSecurity>0</DocSecurity>
  <Lines>115</Lines>
  <Paragraphs>96</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One Credit Engine</dc:creator>
  <cp:lastModifiedBy>Rikard Krameus</cp:lastModifiedBy>
  <cp:revision>2</cp:revision>
  <dcterms:created xsi:type="dcterms:W3CDTF">2026-08-27T13:04:00Z</dcterms:created>
  <dcterms:modified xsi:type="dcterms:W3CDTF">2026-08-27T13:14:00Z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2026-08-27T13:14:27Z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24a8989e-aaeb-4d84-b9bc-92a623388ebc</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