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issues-summary-open-items"/>
    <w:p>
      <w:pPr>
        <w:pStyle w:val="Heading1"/>
      </w:pPr>
      <w:r>
        <w:t xml:space="preserve">Issues Summary — Open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2026-06-06T19:00:00Z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</w:p>
    <w:p>
      <w:pPr>
        <w:pStyle w:val="BodyText"/>
      </w:pPr>
      <w:r>
        <w:t xml:space="preserve">Open workable items only (full detail in</w:t>
      </w:r>
      <w:r>
        <w:t xml:space="preserve"> </w:t>
      </w:r>
      <w:hyperlink r:id="rId9">
        <w:r>
          <w:rPr>
            <w:rStyle w:val="VerbatimChar"/>
          </w:rPr>
          <w:t xml:space="preserve">Issues.md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3"/>
        <w:gridCol w:w="1466"/>
        <w:gridCol w:w="1173"/>
        <w:gridCol w:w="880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BOB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BOB-015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Residual public-tracker failures proven external/non-deterministic (site availability), orchestrator-isolated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RuTracker automated login is CAPTCHA-gated and returns no session 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Containers submodule (§11.4.76) not integrated; project uses compose + start.sh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Workable-items SQLite DB + docs_chain engine + procedure docs not yet set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BOB-012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Several docs lack HTML/PDF exports and no export-sync gate enforces §11.4.65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ssu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ssu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2026-06-06T14:01:55Z</dcterms:created>
  <dcterms:modified xsi:type="dcterms:W3CDTF">2026-06-06T14:01:55Z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