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 </w:t>
      </w:r>
      <w:r>
        <w:t xml:space="preserve">Боба / Boba</w:t>
      </w:r>
    </w:p>
    <w:p>
      <w:pPr>
        <w:pStyle w:val="BodyText"/>
      </w:pPr>
      <w:r>
        <w:t xml:space="preserve">Multi-tracker meta-search for qBittorrent — self-hosted, containerised, private-tracker-aware.</w:t>
      </w:r>
    </w:p>
    <w:p>
      <w:pPr>
        <w:pStyle w:val="BodyText"/>
      </w:pPr>
      <w:r>
        <w:t xml:space="preserve">Quick start</w:t>
      </w:r>
      <w:r>
        <w:t xml:space="preserve"> </w:t>
      </w:r>
      <w:r>
        <w:t xml:space="preserve">·</w:t>
      </w:r>
      <w:r>
        <w:t xml:space="preserve"> </w:t>
      </w:r>
      <w:r>
        <w:t xml:space="preserve">Tokens &amp; keys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t xml:space="preserve">Architecture</w:t>
      </w:r>
      <w:r>
        <w:t xml:space="preserve"> </w:t>
      </w:r>
      <w:r>
        <w:t xml:space="preserve">·</w:t>
      </w:r>
      <w:r>
        <w:t xml:space="preserve"> </w:t>
      </w:r>
      <w:r>
        <w:t xml:space="preserve">Testing</w:t>
      </w:r>
      <w:r>
        <w:t xml:space="preserve"> </w:t>
      </w:r>
      <w:r>
        <w:t xml:space="preserve">·</w:t>
      </w:r>
      <w:r>
        <w:t xml:space="preserve"> </w:t>
      </w:r>
      <w:r>
        <w:t xml:space="preserve">Contributing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Search Service</w:t>
      </w:r>
      <w:r>
        <w:t xml:space="preserve"> </w:t>
      </w:r>
      <w:r>
        <w:t xml:space="preserve">— FastAPI service (</w:t>
      </w:r>
      <w:r>
        <w:rPr>
          <w:rStyle w:val="VerbatimChar"/>
        </w:rPr>
        <w:t xml:space="preserve">:7187</w:t>
      </w:r>
      <w:r>
        <w:t xml:space="preserve">) that fans out across 40+ trackers, deduplicates results, streams via 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results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result_found</w:t>
      </w:r>
      <w:r>
        <w:t xml:space="preserve"> </w:t>
      </w:r>
      <w:r>
        <w:t xml:space="preserve">events arrive as each tracker completes, no blocking.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Private-tracker bridge</w:t>
      </w:r>
      <w:r>
        <w:t xml:space="preserve"> </w:t>
      </w:r>
      <w:r>
        <w:t xml:space="preserve">— Authenticated downloads via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binary,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for RuTracker, Kinozal, NNM-Club, IPTorrents. The original</w:t>
      </w:r>
      <w:r>
        <w:t xml:space="preserve"> </w:t>
      </w:r>
      <w:r>
        <w:rPr>
          <w:rStyle w:val="VerbatimChar"/>
        </w:rPr>
        <w:t xml:space="preserve">webui-bridge.py</w:t>
      </w:r>
      <w:r>
        <w:t xml:space="preserve"> </w:t>
      </w:r>
      <w:r>
        <w:t xml:space="preserve">implementation is kept in the tree but is not part of the managed</w:t>
      </w:r>
      <w:r>
        <w:t xml:space="preserve"> </w:t>
      </w:r>
      <w:r>
        <w:rPr>
          <w:rStyle w:val="VerbatimChar"/>
        </w:rPr>
        <w:t xml:space="preserve">boba.target</w:t>
      </w:r>
      <w:r>
        <w:t xml:space="preserve"> </w:t>
      </w:r>
      <w:r>
        <w:t xml:space="preserve">topology.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IPTorrents</w:t>
      </w:r>
      <w:r>
        <w:t xml:space="preserve"> </w:t>
      </w:r>
      <w:r>
        <w:t xml:space="preserve">— Automation never costs ratio (see</w:t>
      </w:r>
      <w:r>
        <w:t xml:space="preserve"> </w:t>
      </w:r>
      <w:hyperlink r:id="rId9">
        <w:r>
          <w:rPr>
            <w:rStyle w:val="Hyperlink"/>
          </w:rPr>
          <w:t xml:space="preserve">constitution VIII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quality stack</w:t>
      </w:r>
      <w:r>
        <w:t xml:space="preserve"> </w:t>
      </w:r>
      <w:r>
        <w:t xml:space="preserve">— SonarQube + Snyk + Semgrep + Trivy + Gitleaks + bandit + pip-audit behind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observability</w:t>
      </w:r>
      <w:r>
        <w:t xml:space="preserve"> </w:t>
      </w:r>
      <w:r>
        <w:t xml:space="preserve">— Prometheus + Grafana dashboards behind the same profile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Hook system</w:t>
      </w:r>
      <w:r>
        <w:t xml:space="preserve"> </w:t>
      </w:r>
      <w:r>
        <w:t xml:space="preserve">— Register scripts via</w:t>
      </w:r>
      <w:r>
        <w:t xml:space="preserve"> </w:t>
      </w:r>
      <w:r>
        <w:rPr>
          <w:rStyle w:val="VerbatimChar"/>
        </w:rPr>
        <w:t xml:space="preserve">POST /api/v1/hooks</w:t>
      </w:r>
      <w:r>
        <w:t xml:space="preserve"> </w:t>
      </w:r>
      <w:r>
        <w:t xml:space="preserve">for search / download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Angular 21 SPA dashboard</w:t>
      </w:r>
      <w:r>
        <w:t xml:space="preserve"> </w:t>
      </w:r>
      <w:r>
        <w:t xml:space="preserve">— dark-themed, signals-based, per-tracker status chips with CAPTCHA re-login, virtual-scroll-ready sort.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PWA-ready</w:t>
      </w:r>
      <w:r>
        <w:t xml:space="preserve"> </w:t>
      </w:r>
      <w:r>
        <w:t xml:space="preserve">— favicon + launcher icons + web manifest ship from</w:t>
      </w:r>
      <w:r>
        <w:t xml:space="preserve"> </w:t>
      </w:r>
      <w:r>
        <w:rPr>
          <w:rStyle w:val="VerbatimChar"/>
        </w:rPr>
        <w:t xml:space="preserve">frontend/public/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Container-first</w:t>
      </w:r>
      <w:r>
        <w:t xml:space="preserve"> </w:t>
      </w:r>
      <w:r>
        <w:t xml:space="preserve">— rootless Podman or Docker, single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 </w:t>
      </w:r>
      <w:r>
        <w:t xml:space="preserve">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Resource-pressure early-warning</w:t>
      </w:r>
      <w:r>
        <w:t xml:space="preserve"> </w:t>
      </w:r>
      <w:r>
        <w:t xml:space="preserve">—</w:t>
      </w:r>
      <w:r>
        <w:t xml:space="preserve"> </w:t>
      </w:r>
      <w:hyperlink r:id="rId10">
        <w:r>
          <w:rPr>
            <w:rStyle w:val="VerbatimChar"/>
          </w:rPr>
          <w:t xml:space="preserve">challenges/scripts/resource_pressure_signature_challenge.sh</w:t>
        </w:r>
      </w:hyperlink>
      <w:r>
        <w:t xml:space="preserve"> </w:t>
      </w:r>
      <w:r>
        <w:t xml:space="preserve">checks 5 independently-falsifiable host-pressure signatures (runaway RSS, thread-count vs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, container EAGAIN cascades, swap pressure, cgroup memory pressure) so a forced-logout precursor is caught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gets SIGKILLed, not after. Wired into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 25 and a standing</w:t>
      </w:r>
      <w:r>
        <w:t xml:space="preserve"> </w:t>
      </w:r>
      <w:r>
        <w:rPr>
          <w:rStyle w:val="VerbatimChar"/>
        </w:rPr>
        <w:t xml:space="preserve">boba-resource-pressure-check.timer</w:t>
      </w:r>
      <w:r>
        <w:t xml:space="preserve"> </w:t>
      </w:r>
      <w:r>
        <w:t xml:space="preserve">systemd-user unit. See</w:t>
      </w:r>
      <w:r>
        <w:t xml:space="preserve"> </w:t>
      </w:r>
      <w:hyperlink r:id="rId11">
        <w:r>
          <w:rPr>
            <w:rStyle w:val="Hyperlink"/>
          </w:rPr>
          <w:t xml:space="preserve">incident writeup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https://github.com/milos85vasic/qBitTorrent.git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</w:t>
      </w:r>
      <w:r>
        <w:br/>
      </w:r>
      <w:r>
        <w:br/>
      </w:r>
      <w:r>
        <w:rPr>
          <w:rStyle w:val="CommentTok"/>
        </w:rPr>
        <w:t xml:space="preserve"># Optional: configure tracker credentials + tokens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</w:t>
      </w:r>
      <w:r>
        <w:rPr>
          <w:rStyle w:val="CommentTok"/>
        </w:rPr>
        <w:t xml:space="preserve"># see "Tokens &amp; API keys" below</w:t>
      </w:r>
      <w:r>
        <w:br/>
      </w:r>
      <w:r>
        <w:br/>
      </w: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Angular build + containers + plugin sync</w:t>
      </w:r>
    </w:p>
    <w:p>
      <w:pPr>
        <w:pStyle w:val="FirstParagraph"/>
      </w:pPr>
      <w:r>
        <w:t xml:space="preserve">Then visit: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http://localhost:7187/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Merge-search dashboard (SPA)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http://localhost:7187/docs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FastAPI Swagger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http://localhost:7187/openapi.json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OpenAPI schema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http://localhost:7186/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WebUI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http://localhost:7185/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internal (container)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http://localhost:7188/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WebUI bridge (private-tracker downloads)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5" w:name="tokens-api-keys"/>
    <w:p>
      <w:pPr>
        <w:pStyle w:val="Heading2"/>
      </w:pPr>
      <w:r>
        <w:t xml:space="preserve">Tokens &amp; API keys</w:t>
      </w:r>
    </w:p>
    <w:p>
      <w:pPr>
        <w:pStyle w:val="FirstParagraph"/>
      </w:pPr>
      <w:r>
        <w:rPr>
          <w:b/>
          <w:bCs/>
        </w:rPr>
        <w:t xml:space="preserve">⚠ Configure any credentials you need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./start.sh</w:t>
      </w:r>
      <w:r>
        <w:rPr>
          <w:b/>
          <w:bCs/>
        </w:rPr>
        <w:t xml:space="preserve">.</w:t>
      </w:r>
      <w:r>
        <w:t xml:space="preserve"> </w:t>
      </w:r>
      <w:r>
        <w:t xml:space="preserve">The single source of truth is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docs/TOKENS_AND_KEYS.md</w:t>
        </w:r>
      </w:hyperlink>
      <w:r>
        <w:t xml:space="preserve"> </w:t>
      </w:r>
      <w:r>
        <w:t xml:space="preserve">— which variable is mandatory, which is optional, and</w:t>
      </w:r>
      <w:r>
        <w:t xml:space="preserve"> </w:t>
      </w:r>
      <w:r>
        <w:rPr>
          <w:b/>
          <w:bCs/>
        </w:rPr>
        <w:t xml:space="preserve">where to register</w:t>
      </w:r>
      <w:r>
        <w:t xml:space="preserve"> </w:t>
      </w:r>
      <w:r>
        <w:t xml:space="preserve">for each one.</w:t>
      </w:r>
    </w:p>
    <w:bookmarkStart w:id="24" w:name="X95c33d943bf99cef90d97c7d2f4371aa0f2d562"/>
    <w:p>
      <w:pPr>
        <w:pStyle w:val="Heading3"/>
      </w:pPr>
      <w:r>
        <w:t xml:space="preserve">Tracker credentials — env vars AND cookies files (auto-loaded)</w:t>
      </w:r>
    </w:p>
    <w:p>
      <w:pPr>
        <w:pStyle w:val="FirstParagraph"/>
      </w:pPr>
      <w:r>
        <w:t xml:space="preserve">Boba supports</w:t>
      </w:r>
      <w:r>
        <w:t xml:space="preserve"> </w:t>
      </w:r>
      <w:r>
        <w:rPr>
          <w:b/>
          <w:bCs/>
        </w:rPr>
        <w:t xml:space="preserve">two mechanisms</w:t>
      </w:r>
      <w:r>
        <w:t xml:space="preserve"> </w:t>
      </w:r>
      <w:r>
        <w:t xml:space="preserve">for tracker auth, and both are respected together: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 vars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&lt;TRACKER&gt;_USERNAME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&lt;TRACKER&gt;_COOKIES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Cookies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~/Downloads/</w:t>
      </w:r>
      <w:r>
        <w:t xml:space="preserve"> </w:t>
      </w:r>
      <w:r>
        <w:t xml:space="preserve">— canonical naming</w:t>
      </w:r>
      <w:r>
        <w:t xml:space="preserve"> </w:t>
      </w:r>
      <w:r>
        <w:rPr>
          <w:rStyle w:val="VerbatimChar"/>
        </w:rPr>
        <w:t xml:space="preserve">cookies_&lt;tracker&gt;.txt</w:t>
      </w:r>
      <w:r>
        <w:t xml:space="preserve"> </w:t>
      </w:r>
      <w:r>
        <w:t xml:space="preserve">(lowercase), Netscape TSV format exported from a logged-in browser session.</w:t>
      </w:r>
    </w:p>
    <w:p>
      <w:pPr>
        <w:pStyle w:val="FirstParagraph"/>
      </w:pPr>
      <w:r>
        <w:t xml:space="preserve">The loader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auto-invokes before every</w:t>
      </w:r>
      <w:r>
        <w:t xml:space="preserve"> </w:t>
      </w:r>
      <w:r>
        <w:rPr>
          <w:rStyle w:val="VerbatimChar"/>
        </w:rPr>
        <w:t xml:space="preserve">boba-svc up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boba-svc 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Stage 6, and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boot —</w:t>
      </w:r>
      <w:r>
        <w:t xml:space="preserve"> </w:t>
      </w:r>
      <w:r>
        <w:t xml:space="preserve">so refreshing a session is a one-step</w:t>
      </w:r>
      <w:r>
        <w:t xml:space="preserve"> </w:t>
      </w:r>
      <w:r>
        <w:rPr>
          <w:i/>
          <w:iCs/>
        </w:rPr>
        <w:t xml:space="preserve">browser re-export → restart</w:t>
      </w:r>
      <w:r>
        <w:t xml:space="preserve">. Source</w:t>
      </w:r>
      <w:r>
        <w:t xml:space="preserve"> </w:t>
      </w:r>
      <w:r>
        <w:t xml:space="preserve">directory defaults to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TRACKER_COOKIE_DIR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--dir &lt;path&gt;</w:t>
      </w:r>
      <w:r>
        <w:t xml:space="preserve">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Tracker Credentials Manual</w:t>
        </w:r>
      </w:hyperlink>
      <w:r>
        <w:t xml:space="preserve"> </w:t>
      </w:r>
      <w:r>
        <w:t xml:space="preserve">for the per-tracker matrix, browser-export step-by-step, precedence rules,</w:t>
      </w:r>
      <w:r>
        <w:t xml:space="preserve"> </w:t>
      </w:r>
      <w:r>
        <w:t xml:space="preserve">and the security posture (§11.4.10.A leak audit, cookie-value-never-logged).</w:t>
      </w:r>
      <w:r>
        <w:t xml:space="preserve"> </w:t>
      </w:r>
      <w:r>
        <w:t xml:space="preserve">Common questions: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FAQ</w:t>
        </w:r>
      </w:hyperlink>
      <w:r>
        <w:t xml:space="preserve">.</w:t>
      </w:r>
    </w:p>
    <w:p>
      <w:pPr>
        <w:pStyle w:val="BodyText"/>
      </w:pPr>
      <w:r>
        <w:t xml:space="preserve">Downloads and directories the system creates are owned by the account that started it —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step after every download. See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File Ownership Guide</w:t>
        </w:r>
      </w:hyperlink>
      <w:r>
        <w:t xml:space="preserve"> </w:t>
      </w:r>
      <w:r>
        <w:t xml:space="preserve">for why that requires</w:t>
      </w:r>
      <w:r>
        <w:t xml:space="preserve"> </w:t>
      </w:r>
      <w:r>
        <w:rPr>
          <w:rStyle w:val="VerbatimChar"/>
        </w:rPr>
        <w:t xml:space="preserve">PUID=0</w:t>
      </w:r>
      <w:r>
        <w:t xml:space="preserve"> </w:t>
      </w:r>
      <w:r>
        <w:t xml:space="preserve">under rootless Podman, how to verify it on your own machine, and how to repair</w:t>
      </w:r>
      <w:r>
        <w:t xml:space="preserve"> </w:t>
      </w:r>
      <w:r>
        <w:t xml:space="preserve">content created before the fix.</w:t>
      </w:r>
    </w:p>
    <w:bookmarkEnd w:id="24"/>
    <w:bookmarkStart w:id="32" w:name="at-a-glance"/>
    <w:p>
      <w:pPr>
        <w:pStyle w:val="Heading3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WebUI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WEBUI_PASSWORD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Private trackers</w:t>
            </w:r>
          </w:p>
        </w:tc>
        <w:tc>
          <w:tcPr/>
          <w:p>
            <w:pPr>
              <w:pStyle w:val="Compact"/>
            </w:pPr>
            <w:r>
              <w:t xml:space="preserve">per-tracker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 tracker uplift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Metadata enrichment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TMDB_API_KEY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TVDB_API_KEY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Security scanning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SNYK_TOKEN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GRAFANA_PASSWORD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Orchestrator 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bookmarkEnd w:id="32"/>
    <w:bookmarkStart w:id="44" w:name="where-to-register-fast-links"/>
    <w:p>
      <w:pPr>
        <w:pStyle w:val="Heading3"/>
      </w:pPr>
      <w:r>
        <w:t xml:space="preserve">Where to register (fast links)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https://rutracker.org/forum/register.php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https://kinozal.tv/signup.php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May require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NNM-Club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https://nnmclub.to/forum/ucp.php?mode=register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Cookie-based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https://iptorrents.com/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Invite-only; freeleech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https://github.com/Jackett/Jackett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Self-hosted indexer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TMDb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https://www.themoviedb.org/signup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v3 auth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TVDb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https://thetvdb.com/api-information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Subscription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MusicBrainz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https://musicbrainz.org/doc/MusicBrainz_API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— needs UA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https://app.snyk.io/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Account → Auth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SonarCloud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https://sonarcloud.io/account/security/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 run the compose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https://gitleaks.io/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Optional commercial 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189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Everything the platform offers, indexed:</w:t>
      </w:r>
    </w:p>
    <w:bookmarkStart w:id="104" w:name="tracked-items-status-documents"/>
    <w:p>
      <w:pPr>
        <w:pStyle w:val="Heading3"/>
      </w:pPr>
      <w:r>
        <w:t xml:space="preserve">Tracked-Items + Status Documents</w:t>
      </w:r>
    </w:p>
    <w:p>
      <w:pPr>
        <w:pStyle w:val="FirstParagraph"/>
      </w:pPr>
      <w:r>
        <w:t xml:space="preserve">The mandated entry point (§11.4.57 / §11.4.212) for every tracker and status document in this</w:t>
      </w:r>
      <w:r>
        <w:t xml:space="preserve"> </w:t>
      </w:r>
      <w:r>
        <w:t xml:space="preserve">repository —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are sourced verbatim from each document’s own</w:t>
      </w:r>
      <w:r>
        <w:t xml:space="preserve"> </w:t>
      </w:r>
      <w:r>
        <w:t xml:space="preserve">revision header (§11.4.44); 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means the document currently carries no revision header or has</w:t>
      </w:r>
      <w:r>
        <w:t xml:space="preserve"> </w:t>
      </w:r>
      <w:r>
        <w:t xml:space="preserve">no HTML/PDF export yet (never fabricated). Regenerated by</w:t>
      </w:r>
      <w:r>
        <w:t xml:space="preserve"> </w:t>
      </w:r>
      <w:hyperlink r:id="rId46">
        <w:r>
          <w:rPr>
            <w:rStyle w:val="VerbatimChar"/>
          </w:rPr>
          <w:t xml:space="preserve">scripts/testing/update_readme_doc_links.sh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never hand-typed (§11.4.57).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Issues_Summary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2026-08-20T12:17:48Z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PORTING-FROM-LAVA</w:t>
            </w:r>
          </w:p>
        </w:tc>
        <w:tc>
          <w:tcPr/>
          <w:p>
            <w:pPr>
              <w:pStyle w:val="Compact"/>
            </w:pPr>
            <w:r>
              <w:t xml:space="preserve">2026-07-01T16:18:43Z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REMAINING_WORK_PLAN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2026-06-06T00:00:00Z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RELEASE_READINESS_20260616</w:t>
            </w:r>
          </w:p>
        </w:tc>
        <w:tc>
          <w:tcPr/>
          <w:p>
            <w:pPr>
              <w:pStyle w:val="Compact"/>
            </w:pPr>
            <w:r>
              <w:t xml:space="preserve">2026-06-16T10:30:00Z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QA_DISCOVERY_LEDGER</w:t>
            </w:r>
          </w:p>
        </w:tc>
        <w:tc>
          <w:tcPr/>
          <w:p>
            <w:pPr>
              <w:pStyle w:val="Compact"/>
            </w:pPr>
            <w:r>
              <w:t xml:space="preserve">2026-08-21T15:05:00Z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GOVERNANCE_AUDIT_2026-08-07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GOVERNANCE_AUDIT_2026-08-08_ROUND2</w:t>
            </w:r>
          </w:p>
        </w:tc>
        <w:tc>
          <w:tcPr/>
          <w:p>
            <w:pPr>
              <w:pStyle w:val="Compact"/>
            </w:pPr>
            <w:r>
              <w:t xml:space="preserve">2026-08-09T12:54:30Z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browser_extension/RELEASE_READINESS</w:t>
            </w:r>
          </w:p>
        </w:tc>
        <w:tc>
          <w:tcPr/>
          <w:p>
            <w:pPr>
              <w:pStyle w:val="Compact"/>
            </w:pPr>
            <w:r>
              <w:t xml:space="preserve">2026-06-13T13:10:00Z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</w:t>
            </w:r>
          </w:p>
        </w:tc>
        <w:tc>
          <w:tcPr/>
          <w:p>
            <w:pPr>
              <w:pStyle w:val="Compact"/>
            </w:pPr>
            <w:r>
              <w:t xml:space="preserve">2026-08-18T13:33:41Z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</w:t>
            </w:r>
          </w:p>
        </w:tc>
        <w:tc>
          <w:tcPr/>
          <w:p>
            <w:pPr>
              <w:pStyle w:val="Compact"/>
            </w:pPr>
            <w:r>
              <w:t xml:space="preserve">2026-08-21T00:00:00Z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End w:id="104"/>
    <w:bookmarkStart w:id="117" w:name="getting-started-operation"/>
    <w:p>
      <w:pPr>
        <w:pStyle w:val="Heading3"/>
      </w:pPr>
      <w:r>
        <w:t xml:space="preserve">Getting started &amp; operation</w:t>
      </w:r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— secondary index of every file directly under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 end-user walkthrough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docs/TOKENS_AND_KEYS.md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⭐ credentials / tokens / env vars (mandatory vs optional + registration links)</w:t>
      </w:r>
    </w:p>
    <w:p>
      <w:pPr>
        <w:pStyle w:val="Compact"/>
        <w:numPr>
          <w:ilvl w:val="0"/>
          <w:numId w:val="1003"/>
        </w:numPr>
      </w:pPr>
      <w:hyperlink r:id="rId107">
        <w:r>
          <w:rPr>
            <w:rStyle w:val="VerbatimChar"/>
          </w:rPr>
          <w:t xml:space="preserve">docs/DESIGN_SYSTEM.md</w:t>
        </w:r>
      </w:hyperlink>
      <w:r>
        <w:t xml:space="preserve"> </w:t>
      </w:r>
      <w:r>
        <w:t xml:space="preserve">— runtime-switchable palette catalogue (8 palettes, dark + light, Darcula default)</w:t>
      </w:r>
    </w:p>
    <w:p>
      <w:pPr>
        <w:pStyle w:val="Compact"/>
        <w:numPr>
          <w:ilvl w:val="0"/>
          <w:numId w:val="1003"/>
        </w:numPr>
      </w:pPr>
      <w:hyperlink r:id="rId108">
        <w:r>
          <w:rPr>
            <w:rStyle w:val="VerbatimChar"/>
          </w:rPr>
          <w:t xml:space="preserve">docs/PLUGINS.md</w:t>
        </w:r>
      </w:hyperlink>
      <w:r>
        <w:t xml:space="preserve"> </w:t>
      </w:r>
      <w:r>
        <w:t xml:space="preserve">— the 43 plugin engines</w:t>
      </w:r>
    </w:p>
    <w:p>
      <w:pPr>
        <w:pStyle w:val="Compact"/>
        <w:numPr>
          <w:ilvl w:val="0"/>
          <w:numId w:val="1003"/>
        </w:numPr>
      </w:pPr>
      <w:hyperlink r:id="rId109">
        <w:r>
          <w:rPr>
            <w:rStyle w:val="VerbatimChar"/>
          </w:rPr>
          <w:t xml:space="preserve">docs/PLUGIN_TROUBLESHOOTING.md</w:t>
        </w:r>
      </w:hyperlink>
      <w:r>
        <w:t xml:space="preserve"> </w:t>
      </w:r>
      <w:r>
        <w:t xml:space="preserve">— what to check when a plugin breaks</w:t>
      </w:r>
    </w:p>
    <w:p>
      <w:pPr>
        <w:pStyle w:val="Compact"/>
        <w:numPr>
          <w:ilvl w:val="0"/>
          <w:numId w:val="1003"/>
        </w:numPr>
      </w:pPr>
      <w:hyperlink r:id="rId110">
        <w:r>
          <w:rPr>
            <w:rStyle w:val="VerbatimChar"/>
          </w:rPr>
          <w:t xml:space="preserve">docs/MAGNET_LINKS.md</w:t>
        </w:r>
      </w:hyperlink>
      <w:r>
        <w:t xml:space="preserve"> </w:t>
      </w:r>
      <w:r>
        <w:t xml:space="preserve">— magnet link implementation guide</w:t>
      </w:r>
    </w:p>
    <w:p>
      <w:pPr>
        <w:pStyle w:val="Compact"/>
        <w:numPr>
          <w:ilvl w:val="0"/>
          <w:numId w:val="1003"/>
        </w:numPr>
      </w:pPr>
      <w:hyperlink r:id="rId111">
        <w:r>
          <w:rPr>
            <w:rStyle w:val="VerbatimChar"/>
          </w:rPr>
          <w:t xml:space="preserve">docs/DOWNLOAD_FIX.md</w:t>
        </w:r>
      </w:hyperlink>
      <w:r>
        <w:t xml:space="preserve"> </w:t>
      </w:r>
      <w:r>
        <w:t xml:space="preserve">— RuTracker plugin download fix</w:t>
      </w:r>
    </w:p>
    <w:p>
      <w:pPr>
        <w:pStyle w:val="Compact"/>
        <w:numPr>
          <w:ilvl w:val="0"/>
          <w:numId w:val="1003"/>
        </w:numPr>
      </w:pPr>
      <w:hyperlink r:id="rId112">
        <w:r>
          <w:rPr>
            <w:rStyle w:val="VerbatimChar"/>
          </w:rPr>
          <w:t xml:space="preserve">docs/RELEASE_TORRENT_UPLOAD_FIX.md</w:t>
        </w:r>
      </w:hyperlink>
      <w:r>
        <w:t xml:space="preserve"> </w:t>
      </w:r>
      <w:r>
        <w:t xml:space="preserve">— release report: torrent file upload fix</w:t>
      </w:r>
    </w:p>
    <w:p>
      <w:pPr>
        <w:pStyle w:val="Compact"/>
        <w:numPr>
          <w:ilvl w:val="0"/>
          <w:numId w:val="1003"/>
        </w:numPr>
      </w:pPr>
      <w:hyperlink r:id="rId113">
        <w:r>
          <w:rPr>
            <w:rStyle w:val="VerbatimChar"/>
          </w:rPr>
          <w:t xml:space="preserve">docs/JACKETT_INTEGRATION.md</w:t>
        </w:r>
      </w:hyperlink>
      <w:r>
        <w:t xml:space="preserve"> </w:t>
      </w:r>
      <w:r>
        <w:t xml:space="preserve">— Jackett integration</w:t>
      </w:r>
    </w:p>
    <w:p>
      <w:pPr>
        <w:pStyle w:val="Compact"/>
        <w:numPr>
          <w:ilvl w:val="0"/>
          <w:numId w:val="1003"/>
        </w:numPr>
      </w:pPr>
      <w:hyperlink r:id="rId114">
        <w:r>
          <w:rPr>
            <w:rStyle w:val="VerbatimChar"/>
          </w:rPr>
          <w:t xml:space="preserve">docs/DEAD_TRACKERS_EXPLAINED.md</w:t>
        </w:r>
      </w:hyperlink>
      <w:r>
        <w:t xml:space="preserve"> </w:t>
      </w:r>
      <w:r>
        <w:t xml:space="preserve">— dead public tracker status</w:t>
      </w:r>
    </w:p>
    <w:p>
      <w:pPr>
        <w:pStyle w:val="Compact"/>
        <w:numPr>
          <w:ilvl w:val="0"/>
          <w:numId w:val="1003"/>
        </w:numPr>
      </w:pPr>
      <w:hyperlink r:id="rId115">
        <w:r>
          <w:rPr>
            <w:rStyle w:val="VerbatimChar"/>
          </w:rPr>
          <w:t xml:space="preserve">docs/TRACKER_AUTH_TESTING.md</w:t>
        </w:r>
      </w:hyperlink>
      <w:r>
        <w:t xml:space="preserve"> </w:t>
      </w:r>
      <w:r>
        <w:t xml:space="preserve">— tracker credentials live testing</w:t>
      </w:r>
    </w:p>
    <w:p>
      <w:pPr>
        <w:pStyle w:val="Compact"/>
        <w:numPr>
          <w:ilvl w:val="0"/>
          <w:numId w:val="1003"/>
        </w:numPr>
      </w:pPr>
      <w:hyperlink r:id="rId116">
        <w:r>
          <w:rPr>
            <w:rStyle w:val="VerbatimChar"/>
          </w:rPr>
          <w:t xml:space="preserve">docs/MERGE_SEARCH_DIAGNOSTICS.md</w:t>
        </w:r>
      </w:hyperlink>
      <w:r>
        <w:t xml:space="preserve"> </w:t>
      </w:r>
      <w:r>
        <w:t xml:space="preserve">— merge-search diagnostics + rebuild/restart contract</w:t>
      </w:r>
    </w:p>
    <w:bookmarkEnd w:id="117"/>
    <w:bookmarkStart w:id="130" w:name="architecture-subsystems"/>
    <w:p>
      <w:pPr>
        <w:pStyle w:val="Heading3"/>
      </w:pPr>
      <w:r>
        <w:t xml:space="preserve">Architecture &amp; subsystems</w:t>
      </w:r>
    </w:p>
    <w:p>
      <w:pPr>
        <w:pStyle w:val="Compact"/>
        <w:numPr>
          <w:ilvl w:val="0"/>
          <w:numId w:val="1004"/>
        </w:numPr>
      </w:pPr>
      <w:hyperlink r:id="rId118">
        <w:r>
          <w:rPr>
            <w:rStyle w:val="VerbatimChar"/>
          </w:rPr>
          <w:t xml:space="preserve">docs/architecture/</w:t>
        </w:r>
      </w:hyperlink>
      <w:r>
        <w:t xml:space="preserve"> </w:t>
      </w:r>
      <w:r>
        <w:t xml:space="preserve">— 5 Mermaid diagrams (topology, search lifecycle, plugin execution, bridge, shutdown)</w:t>
      </w:r>
    </w:p>
    <w:p>
      <w:pPr>
        <w:pStyle w:val="Compact"/>
        <w:numPr>
          <w:ilvl w:val="0"/>
          <w:numId w:val="1004"/>
        </w:numPr>
      </w:pPr>
      <w:hyperlink r:id="rId119">
        <w:r>
          <w:rPr>
            <w:rStyle w:val="VerbatimChar"/>
          </w:rPr>
          <w:t xml:space="preserve">docs/DATA_MODEL.md</w:t>
        </w:r>
      </w:hyperlink>
      <w:r>
        <w:t xml:space="preserve"> </w:t>
      </w:r>
      <w:r>
        <w:t xml:space="preserve">— Pydantic schemas &amp; lifecycle (no relational DB)</w:t>
      </w:r>
    </w:p>
    <w:p>
      <w:pPr>
        <w:pStyle w:val="Compact"/>
        <w:numPr>
          <w:ilvl w:val="0"/>
          <w:numId w:val="1004"/>
        </w:numPr>
      </w:pPr>
      <w:hyperlink r:id="rId120">
        <w:r>
          <w:rPr>
            <w:rStyle w:val="VerbatimChar"/>
          </w:rPr>
          <w:t xml:space="preserve">docs/CONCURRENCY.md</w:t>
        </w:r>
      </w:hyperlink>
      <w:r>
        <w:t xml:space="preserve"> </w:t>
      </w:r>
      <w:r>
        <w:t xml:space="preserve">— asyncio semaphore + TTL caches + retry/backoff</w:t>
      </w:r>
    </w:p>
    <w:p>
      <w:pPr>
        <w:pStyle w:val="Compact"/>
        <w:numPr>
          <w:ilvl w:val="0"/>
          <w:numId w:val="1004"/>
        </w:numPr>
      </w:pPr>
      <w:hyperlink r:id="rId121">
        <w:r>
          <w:rPr>
            <w:rStyle w:val="VerbatimChar"/>
          </w:rPr>
          <w:t xml:space="preserve">docs/OBSERVABILITY.md</w:t>
        </w:r>
      </w:hyperlink>
      <w:r>
        <w:t xml:space="preserve"> </w:t>
      </w:r>
      <w:r>
        <w:t xml:space="preserve">— Prometheus + Grafana + OpenTelemetry</w:t>
      </w:r>
    </w:p>
    <w:p>
      <w:pPr>
        <w:pStyle w:val="Compact"/>
        <w:numPr>
          <w:ilvl w:val="0"/>
          <w:numId w:val="1004"/>
        </w:numPr>
      </w:pPr>
      <w:hyperlink r:id="rId122">
        <w:r>
          <w:rPr>
            <w:rStyle w:val="VerbatimChar"/>
          </w:rPr>
          <w:t xml:space="preserve">docs/PERFORMANCE.md</w:t>
        </w:r>
      </w:hyperlink>
      <w:r>
        <w:t xml:space="preserve"> </w:t>
      </w:r>
      <w:r>
        <w:t xml:space="preserve">— benchmark + load + stress test layout</w:t>
      </w:r>
    </w:p>
    <w:p>
      <w:pPr>
        <w:pStyle w:val="Compact"/>
        <w:numPr>
          <w:ilvl w:val="0"/>
          <w:numId w:val="1004"/>
        </w:numPr>
      </w:pPr>
      <w:hyperlink r:id="rId123">
        <w:r>
          <w:rPr>
            <w:rStyle w:val="VerbatimChar"/>
          </w:rPr>
          <w:t xml:space="preserve">docs/api/openapi.json</w:t>
        </w:r>
      </w:hyperlink>
      <w:r>
        <w:t xml:space="preserve"> </w:t>
      </w:r>
      <w:r>
        <w:t xml:space="preserve">— frozen OpenAPI spec (diffed in CI)</w:t>
      </w:r>
    </w:p>
    <w:p>
      <w:pPr>
        <w:pStyle w:val="Compact"/>
        <w:numPr>
          <w:ilvl w:val="0"/>
          <w:numId w:val="1004"/>
        </w:numPr>
      </w:pPr>
      <w:hyperlink r:id="rId124">
        <w:r>
          <w:rPr>
            <w:rStyle w:val="VerbatimChar"/>
          </w:rPr>
          <w:t xml:space="preserve">docs/API_Summary.md</w:t>
        </w:r>
      </w:hyperlink>
      <w:r>
        <w:t xml:space="preserve"> </w:t>
      </w:r>
      <w:r>
        <w:t xml:space="preserve">— API domain summary</w:t>
      </w:r>
    </w:p>
    <w:p>
      <w:pPr>
        <w:pStyle w:val="Compact"/>
        <w:numPr>
          <w:ilvl w:val="0"/>
          <w:numId w:val="1004"/>
        </w:numPr>
      </w:pPr>
      <w:hyperlink r:id="rId125">
        <w:r>
          <w:rPr>
            <w:rStyle w:val="VerbatimChar"/>
          </w:rPr>
          <w:t xml:space="preserve">docs/Architecture_Summary.md</w:t>
        </w:r>
      </w:hyperlink>
      <w:r>
        <w:t xml:space="preserve"> </w:t>
      </w:r>
      <w:r>
        <w:t xml:space="preserve">— architecture domain summary</w:t>
      </w:r>
    </w:p>
    <w:p>
      <w:pPr>
        <w:pStyle w:val="Compact"/>
        <w:numPr>
          <w:ilvl w:val="0"/>
          <w:numId w:val="1004"/>
        </w:numPr>
      </w:pPr>
      <w:hyperlink r:id="rId126">
        <w:r>
          <w:rPr>
            <w:rStyle w:val="VerbatimChar"/>
          </w:rPr>
          <w:t xml:space="preserve">docs/CODEGRAPH.md</w:t>
        </w:r>
      </w:hyperlink>
      <w:r>
        <w:t xml:space="preserve"> </w:t>
      </w:r>
      <w:r>
        <w:t xml:space="preserve">— CodeGraph code-intelligence integration (also indexed above in Tracked-Items via</w:t>
      </w:r>
      <w:r>
        <w:t xml:space="preserve"> </w:t>
      </w:r>
      <w:r>
        <w:rPr>
          <w:rStyle w:val="VerbatimChar"/>
        </w:rPr>
        <w:t xml:space="preserve">codegraph/Status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27">
        <w:r>
          <w:rPr>
            <w:rStyle w:val="VerbatimChar"/>
          </w:rPr>
          <w:t xml:space="preserve">docs/CodeGraph_Summary.md</w:t>
        </w:r>
      </w:hyperlink>
      <w:r>
        <w:t xml:space="preserve"> </w:t>
      </w:r>
      <w:r>
        <w:t xml:space="preserve">— CodeGraph domain summary</w:t>
      </w:r>
    </w:p>
    <w:p>
      <w:pPr>
        <w:pStyle w:val="Compact"/>
        <w:numPr>
          <w:ilvl w:val="0"/>
          <w:numId w:val="1004"/>
        </w:numPr>
      </w:pPr>
      <w:hyperlink r:id="rId128">
        <w:r>
          <w:rPr>
            <w:rStyle w:val="VerbatimChar"/>
          </w:rPr>
          <w:t xml:space="preserve">docs/MULTITRACK.md</w:t>
        </w:r>
      </w:hyperlink>
      <w:r>
        <w:t xml:space="preserve"> </w:t>
      </w:r>
      <w:r>
        <w:t xml:space="preserve">— multi-track development registration (Track 11 rationale)</w:t>
      </w:r>
    </w:p>
    <w:p>
      <w:pPr>
        <w:pStyle w:val="Compact"/>
        <w:numPr>
          <w:ilvl w:val="0"/>
          <w:numId w:val="1004"/>
        </w:numPr>
      </w:pPr>
      <w:hyperlink r:id="rId129">
        <w:r>
          <w:rPr>
            <w:rStyle w:val="VerbatimChar"/>
          </w:rPr>
          <w:t xml:space="preserve">docs/CROSS_APP_THEME_PLAN.md</w:t>
        </w:r>
      </w:hyperlink>
      <w:r>
        <w:t xml:space="preserve"> </w:t>
      </w:r>
      <w:r>
        <w:t xml:space="preserve">— cross-app theme plan</w:t>
      </w:r>
    </w:p>
    <w:bookmarkEnd w:id="130"/>
    <w:bookmarkStart w:id="140" w:name="quality-security"/>
    <w:p>
      <w:pPr>
        <w:pStyle w:val="Heading3"/>
      </w:pPr>
      <w:r>
        <w:t xml:space="preserve">Quality &amp; security</w:t>
      </w:r>
    </w:p>
    <w:p>
      <w:pPr>
        <w:pStyle w:val="Compact"/>
        <w:numPr>
          <w:ilvl w:val="0"/>
          <w:numId w:val="1005"/>
        </w:numPr>
      </w:pPr>
      <w:hyperlink r:id="rId131">
        <w:r>
          <w:rPr>
            <w:rStyle w:val="VerbatimChar"/>
          </w:rPr>
          <w:t xml:space="preserve">docs/SECURITY.md</w:t>
        </w:r>
      </w:hyperlink>
      <w:r>
        <w:t xml:space="preserve"> </w:t>
      </w:r>
      <w:r>
        <w:t xml:space="preserve">— threat model + credential storage</w:t>
      </w:r>
    </w:p>
    <w:p>
      <w:pPr>
        <w:pStyle w:val="Compact"/>
        <w:numPr>
          <w:ilvl w:val="0"/>
          <w:numId w:val="1005"/>
        </w:numPr>
      </w:pPr>
      <w:hyperlink r:id="rId132">
        <w:r>
          <w:rPr>
            <w:rStyle w:val="VerbatimChar"/>
          </w:rPr>
          <w:t xml:space="preserve">docs/SCANNING.md</w:t>
        </w:r>
      </w:hyperlink>
      <w:r>
        <w:t xml:space="preserve"> </w:t>
      </w:r>
      <w:r>
        <w:t xml:space="preserve">— Snyk + Sonar + Semgrep + Trivy + Gitleaks + bandit + pip-audit</w:t>
      </w:r>
    </w:p>
    <w:p>
      <w:pPr>
        <w:pStyle w:val="Compact"/>
        <w:numPr>
          <w:ilvl w:val="0"/>
          <w:numId w:val="1005"/>
        </w:numPr>
      </w:pPr>
      <w:hyperlink r:id="rId133">
        <w:r>
          <w:rPr>
            <w:rStyle w:val="VerbatimChar"/>
          </w:rPr>
          <w:t xml:space="preserve">docs/QUALITY_STACK.md</w:t>
        </w:r>
      </w:hyperlink>
      <w:r>
        <w:t xml:space="preserve"> </w:t>
      </w:r>
      <w:r>
        <w:t xml:space="preserve">— the opt-in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05"/>
        </w:numPr>
      </w:pPr>
      <w:hyperlink r:id="rId134">
        <w:r>
          <w:rPr>
            <w:rStyle w:val="VerbatimChar"/>
          </w:rPr>
          <w:t xml:space="preserve">docs/AGENT_GUARDRAILS.md</w:t>
        </w:r>
      </w:hyperlink>
      <w:r>
        <w:t xml:space="preserve"> </w:t>
      </w:r>
      <w:r>
        <w:t xml:space="preserve">— §11.4.109 anti-forgetting enforcement (subagent constitutional preamble + orchestrator pre-action checklist)</w:t>
      </w:r>
    </w:p>
    <w:p>
      <w:pPr>
        <w:pStyle w:val="Compact"/>
        <w:numPr>
          <w:ilvl w:val="0"/>
          <w:numId w:val="1005"/>
        </w:numPr>
      </w:pPr>
      <w:hyperlink r:id="rId135">
        <w:r>
          <w:rPr>
            <w:rStyle w:val="VerbatimChar"/>
          </w:rPr>
          <w:t xml:space="preserve">docs/CONSTITUTION_ADDENDUM_QUALITY.md</w:t>
        </w:r>
      </w:hyperlink>
      <w:r>
        <w:t xml:space="preserve"> </w:t>
      </w:r>
      <w:r>
        <w:t xml:space="preserve">— constitution addendum: quality stack (Principle I exception)</w:t>
      </w:r>
    </w:p>
    <w:p>
      <w:pPr>
        <w:pStyle w:val="Compact"/>
        <w:numPr>
          <w:ilvl w:val="0"/>
          <w:numId w:val="1005"/>
        </w:numPr>
      </w:pPr>
      <w:hyperlink r:id="rId136">
        <w:r>
          <w:rPr>
            <w:rStyle w:val="VerbatimChar"/>
          </w:rPr>
          <w:t xml:space="preserve">docs/PLUGIN_AUDIT.md</w:t>
        </w:r>
      </w:hyperlink>
      <w:r>
        <w:t xml:space="preserve"> </w:t>
      </w:r>
      <w:r>
        <w:t xml:space="preserve">— plugin audit matrix</w:t>
      </w:r>
    </w:p>
    <w:p>
      <w:pPr>
        <w:pStyle w:val="Compact"/>
        <w:numPr>
          <w:ilvl w:val="0"/>
          <w:numId w:val="1005"/>
        </w:numPr>
      </w:pPr>
      <w:hyperlink r:id="rId137">
        <w:r>
          <w:rPr>
            <w:rStyle w:val="VerbatimChar"/>
          </w:rPr>
          <w:t xml:space="preserve">docs/TEST_RESULTS.md</w:t>
        </w:r>
      </w:hyperlink>
      <w:r>
        <w:t xml:space="preserve"> </w:t>
      </w:r>
      <w:r>
        <w:t xml:space="preserve">— snapshot of last full test run</w:t>
      </w:r>
    </w:p>
    <w:p>
      <w:pPr>
        <w:pStyle w:val="Compact"/>
        <w:numPr>
          <w:ilvl w:val="0"/>
          <w:numId w:val="1005"/>
        </w:numPr>
      </w:pPr>
      <w:hyperlink r:id="rId138">
        <w:r>
          <w:rPr>
            <w:rStyle w:val="VerbatimChar"/>
          </w:rPr>
          <w:t xml:space="preserve">docs/TEST_SUITE_GUIDE.md</w:t>
        </w:r>
      </w:hyperlink>
      <w:r>
        <w:t xml:space="preserve"> </w:t>
      </w:r>
      <w:r>
        <w:t xml:space="preserve">— test suite guide</w:t>
      </w:r>
    </w:p>
    <w:p>
      <w:pPr>
        <w:pStyle w:val="Compact"/>
        <w:numPr>
          <w:ilvl w:val="0"/>
          <w:numId w:val="1005"/>
        </w:numPr>
      </w:pPr>
      <w:hyperlink r:id="rId139">
        <w:r>
          <w:rPr>
            <w:rStyle w:val="VerbatimChar"/>
          </w:rPr>
          <w:t xml:space="preserve">docs/testing/</w:t>
        </w:r>
      </w:hyperlink>
      <w:r>
        <w:t xml:space="preserve"> </w:t>
      </w:r>
      <w:r>
        <w:t xml:space="preserve">— DDoS resilience + test-type matrix notes</w:t>
      </w:r>
    </w:p>
    <w:bookmarkEnd w:id="140"/>
    <w:bookmarkStart w:id="147" w:name="incidents-qa-evidence"/>
    <w:p>
      <w:pPr>
        <w:pStyle w:val="Heading3"/>
      </w:pPr>
      <w:r>
        <w:t xml:space="preserve">Incidents &amp; QA evidence</w:t>
      </w:r>
    </w:p>
    <w:p>
      <w:pPr>
        <w:pStyle w:val="FirstParagraph"/>
      </w:pPr>
      <w:r>
        <w:t xml:space="preserve">Per §11.4.238, automated HelixQA coverage is the discovery layer — manual/operator/agent-found</w:t>
      </w:r>
      <w:r>
        <w:t xml:space="preserve"> </w:t>
      </w:r>
      <w:r>
        <w:t xml:space="preserve">defects are confirmation-only, and every out-of-band finding gets a coverage-escape-audit entry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</w:rPr>
          <w:t xml:space="preserve">docs/QA_DISCOVERY_LEDGER.md</w:t>
        </w:r>
      </w:hyperlink>
      <w:r>
        <w:t xml:space="preserve"> </w:t>
      </w:r>
      <w:r>
        <w:t xml:space="preserve">— the discovery-channel ledger + coverage-escape schema (also indexed above in Tracked-Items)</w:t>
      </w:r>
    </w:p>
    <w:p>
      <w:pPr>
        <w:pStyle w:val="Compact"/>
        <w:numPr>
          <w:ilvl w:val="0"/>
          <w:numId w:val="1006"/>
        </w:numPr>
      </w:pPr>
      <w:hyperlink r:id="rId141">
        <w:r>
          <w:rPr>
            <w:rStyle w:val="VerbatimChar"/>
          </w:rPr>
          <w:t xml:space="preserve">docs/incidents/</w:t>
        </w:r>
      </w:hyperlink>
      <w:r>
        <w:t xml:space="preserve"> </w:t>
      </w:r>
      <w:r>
        <w:t xml:space="preserve">— host-safety + CONST-033 forensic investigations, including the latest</w:t>
      </w:r>
      <w:r>
        <w:t xml:space="preserve"> </w:t>
      </w:r>
      <w:hyperlink r:id="rId11">
        <w:r>
          <w:rPr>
            <w:rStyle w:val="Hyperlink"/>
          </w:rPr>
          <w:t xml:space="preserve">2026-08-18 2nd perceived forced-logout</w:t>
        </w:r>
      </w:hyperlink>
      <w:r>
        <w:t xml:space="preserve"> </w:t>
      </w:r>
      <w:r>
        <w:t xml:space="preserve">triage (root cause: partial, §11.4.6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boundary honestly stated; preventive gate: the resource-pressure signature challenge above)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VerbatimChar"/>
          </w:rPr>
          <w:t xml:space="preserve">docs/qa/</w:t>
        </w:r>
      </w:hyperlink>
      <w:r>
        <w:t xml:space="preserve"> </w:t>
      </w:r>
      <w:r>
        <w:t xml:space="preserve">— per-item captured machine evidence (§11.4.5 / §11.4.69 / §11.4.83), one directory per workable item / task run — e.g. </w:t>
      </w:r>
      <w:hyperlink r:id="rId143">
        <w:r>
          <w:rPr>
            <w:rStyle w:val="VerbatimChar"/>
          </w:rPr>
          <w:t xml:space="preserve">docs/qa/BOB-116/</w:t>
        </w:r>
      </w:hyperlink>
    </w:p>
    <w:p>
      <w:pPr>
        <w:pStyle w:val="Compact"/>
        <w:numPr>
          <w:ilvl w:val="0"/>
          <w:numId w:val="1006"/>
        </w:numPr>
      </w:pPr>
      <w:hyperlink r:id="rId144">
        <w:r>
          <w:rPr>
            <w:rStyle w:val="VerbatimChar"/>
          </w:rPr>
          <w:t xml:space="preserve">docs/history/BOB-079-attributed-auto-commit-history.md</w:t>
        </w:r>
      </w:hyperlink>
      <w:r>
        <w:t xml:space="preserve"> </w:t>
      </w:r>
      <w:r>
        <w:t xml:space="preserve">— retroactive, evidenced attribution for the 14 unattributed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/</w:t>
      </w:r>
      <w:r>
        <w:rPr>
          <w:rStyle w:val="VerbatimChar"/>
        </w:rPr>
        <w:t xml:space="preserve">sync:</w:t>
      </w:r>
      <w:r>
        <w:t xml:space="preserve"> </w:t>
      </w:r>
      <w:r>
        <w:t xml:space="preserve">commits in</w:t>
      </w:r>
      <w:r>
        <w:t xml:space="preserve"> </w:t>
      </w:r>
      <w:r>
        <w:rPr>
          <w:rStyle w:val="VerbatimChar"/>
        </w:rPr>
        <w:t xml:space="preserve">v1.0.0-rc..HEAD</w:t>
      </w:r>
      <w:r>
        <w:t xml:space="preserve"> </w:t>
      </w:r>
      <w:r>
        <w:t xml:space="preserve">(BOB-079/RD2-12). Attribution is read from each commit’s DIFF, never its subject line; 3 of 14 are evidence-backed and 11 are recorded literally as UNKNOWN (§11.4.6 — a fabricated attribution is worse than an absent one). A forward-only record, never a history rewrite (§11.4.113)</w:t>
      </w:r>
    </w:p>
    <w:p>
      <w:pPr>
        <w:pStyle w:val="Compact"/>
        <w:numPr>
          <w:ilvl w:val="0"/>
          <w:numId w:val="1006"/>
        </w:numPr>
      </w:pPr>
      <w:hyperlink r:id="rId145">
        <w:r>
          <w:rPr>
            <w:rStyle w:val="VerbatimChar"/>
          </w:rPr>
          <w:t xml:space="preserve">docs/HOST_POWER_MANAGEMENT.md</w:t>
        </w:r>
      </w:hyperlink>
      <w:r>
        <w:t xml:space="preserve"> </w:t>
      </w:r>
      <w:r>
        <w:t xml:space="preserve">— CONST-033 host power management hard ban</w:t>
      </w:r>
    </w:p>
    <w:p>
      <w:pPr>
        <w:pStyle w:val="Compact"/>
        <w:numPr>
          <w:ilvl w:val="0"/>
          <w:numId w:val="1006"/>
        </w:numPr>
      </w:pPr>
      <w:hyperlink r:id="rId146">
        <w:r>
          <w:rPr>
            <w:rStyle w:val="VerbatimChar"/>
          </w:rPr>
          <w:t xml:space="preserve">docs/guides/forced-logout-flight-recorder.md</w:t>
        </w:r>
      </w:hyperlink>
      <w:r>
        <w:t xml:space="preserve"> </w:t>
      </w:r>
      <w:r>
        <w:t xml:space="preserve">— the flight-recorder guide for perceived-forced-logout triage</w:t>
      </w:r>
    </w:p>
    <w:bookmarkEnd w:id="147"/>
    <w:bookmarkStart w:id="163" w:name="X0eebe225dd881669a8a5767e097c07bffda6d29"/>
    <w:p>
      <w:pPr>
        <w:pStyle w:val="Heading3"/>
      </w:pPr>
      <w:r>
        <w:t xml:space="preserve">Research, planning, migration &amp; session archives</w:t>
      </w:r>
    </w:p>
    <w:p>
      <w:pPr>
        <w:pStyle w:val="FirstParagraph"/>
      </w:pPr>
      <w:r>
        <w:t xml:space="preserve">Working documents, dated research notes, superseded-implementation plans, and dated session</w:t>
      </w:r>
      <w:r>
        <w:t xml:space="preserve"> </w:t>
      </w:r>
      <w:r>
        <w:t xml:space="preserve">reports — browsable indexes rather than individually curated, since new dated entries land</w:t>
      </w:r>
      <w:r>
        <w:t xml:space="preserve"> </w:t>
      </w:r>
      <w:r>
        <w:t xml:space="preserve">continuously and any per-file categorization here would drift the moment a new one is added.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VerbatimChar"/>
          </w:rPr>
          <w:t xml:space="preserve">docs/research/</w:t>
        </w:r>
      </w:hyperlink>
      <w:r>
        <w:t xml:space="preserve"> </w:t>
      </w:r>
      <w:r>
        <w:t xml:space="preserve">— dated investigation write-ups (tracker discovery, plugin audits, browser-extension corpus)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VerbatimChar"/>
          </w:rPr>
          <w:t xml:space="preserve">docs/superpowers/</w:t>
        </w:r>
      </w:hyperlink>
      <w:r>
        <w:t xml:space="preserve"> </w:t>
      </w:r>
      <w:r>
        <w:t xml:space="preserve">— long-horizon implementation plans + design specs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VerbatimChar"/>
          </w:rPr>
          <w:t xml:space="preserve">docs/browser_extension/</w:t>
        </w:r>
      </w:hyperlink>
      <w:r>
        <w:t xml:space="preserve"> </w:t>
      </w:r>
      <w:r>
        <w:t xml:space="preserve">— architecture, changelog, install, store listing, user guide, coverage ledger, and internal</w:t>
      </w:r>
      <w:r>
        <w:t xml:space="preserve"> </w:t>
      </w:r>
      <w:r>
        <w:rPr>
          <w:rStyle w:val="VerbatimChar"/>
        </w:rPr>
        <w:t xml:space="preserve">_analysis</w:t>
      </w:r>
      <w:r>
        <w:t xml:space="preserve">/</w:t>
      </w:r>
      <w:r>
        <w:rPr>
          <w:rStyle w:val="VerbatimChar"/>
        </w:rPr>
        <w:t xml:space="preserve">_plan</w:t>
      </w:r>
      <w:r>
        <w:t xml:space="preserve"> </w:t>
      </w:r>
      <w:r>
        <w:t xml:space="preserve">working notes (Status docs indexed above in Tracked-Items)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VerbatimChar"/>
          </w:rPr>
          <w:t xml:space="preserve">docs/migration/</w:t>
        </w:r>
      </w:hyperlink>
      <w:r>
        <w:t xml:space="preserve"> </w:t>
      </w:r>
      <w:r>
        <w:t xml:space="preserve">— Python-to-Go migration spec + parity gaps</w:t>
      </w:r>
    </w:p>
    <w:p>
      <w:pPr>
        <w:pStyle w:val="Compact"/>
        <w:numPr>
          <w:ilvl w:val="0"/>
          <w:numId w:val="1007"/>
        </w:numPr>
      </w:pPr>
      <w:hyperlink r:id="rId152">
        <w:r>
          <w:rPr>
            <w:rStyle w:val="VerbatimChar"/>
          </w:rPr>
          <w:t xml:space="preserve">docs/plans/</w:t>
        </w:r>
      </w:hyperlink>
      <w:r>
        <w:t xml:space="preserve"> </w:t>
      </w:r>
      <w:r>
        <w:t xml:space="preserve">— dated implementation plans</w:t>
      </w:r>
    </w:p>
    <w:p>
      <w:pPr>
        <w:pStyle w:val="Compact"/>
        <w:numPr>
          <w:ilvl w:val="0"/>
          <w:numId w:val="1007"/>
        </w:numPr>
      </w:pPr>
      <w:hyperlink r:id="rId153">
        <w:r>
          <w:rPr>
            <w:rStyle w:val="VerbatimChar"/>
          </w:rPr>
          <w:t xml:space="preserve">docs/proposals/</w:t>
        </w:r>
      </w:hyperlink>
      <w:r>
        <w:t xml:space="preserve"> </w:t>
      </w:r>
      <w:r>
        <w:t xml:space="preserve">— architectural proposals under consideration</w:t>
      </w:r>
    </w:p>
    <w:p>
      <w:pPr>
        <w:pStyle w:val="Compact"/>
        <w:numPr>
          <w:ilvl w:val="0"/>
          <w:numId w:val="1007"/>
        </w:numPr>
      </w:pPr>
      <w:hyperlink r:id="rId154">
        <w:r>
          <w:rPr>
            <w:rStyle w:val="VerbatimChar"/>
          </w:rPr>
          <w:t xml:space="preserve">docs/demos/</w:t>
        </w:r>
      </w:hyperlink>
      <w:r>
        <w:t xml:space="preserve"> </w:t>
      </w:r>
      <w:r>
        <w:t xml:space="preserve">— dated demo write-ups</w:t>
      </w:r>
    </w:p>
    <w:p>
      <w:pPr>
        <w:pStyle w:val="Compact"/>
        <w:numPr>
          <w:ilvl w:val="0"/>
          <w:numId w:val="1007"/>
        </w:numPr>
      </w:pPr>
      <w:hyperlink r:id="rId155">
        <w:r>
          <w:rPr>
            <w:rStyle w:val="VerbatimChar"/>
          </w:rPr>
          <w:t xml:space="preserve">docs/issues/</w:t>
        </w:r>
      </w:hyperlink>
      <w:r>
        <w:t xml:space="preserve"> </w:t>
      </w:r>
      <w:r>
        <w:t xml:space="preserve">— frozen post-mortems for specific incidents (distinct from the live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tracker above)</w:t>
      </w:r>
    </w:p>
    <w:p>
      <w:pPr>
        <w:pStyle w:val="Compact"/>
        <w:numPr>
          <w:ilvl w:val="0"/>
          <w:numId w:val="1007"/>
        </w:numPr>
      </w:pPr>
      <w:hyperlink r:id="rId156">
        <w:r>
          <w:rPr>
            <w:rStyle w:val="VerbatimChar"/>
          </w:rPr>
          <w:t xml:space="preserve">docs/systemd/UNITS.md</w:t>
        </w:r>
      </w:hyperlink>
      <w:r>
        <w:t xml:space="preserve"> </w:t>
      </w:r>
      <w:r>
        <w:t xml:space="preserve">— systemd unit reference</w:t>
      </w:r>
    </w:p>
    <w:p>
      <w:pPr>
        <w:pStyle w:val="Compact"/>
        <w:numPr>
          <w:ilvl w:val="0"/>
          <w:numId w:val="1007"/>
        </w:numPr>
      </w:pPr>
      <w:hyperlink r:id="rId157">
        <w:r>
          <w:rPr>
            <w:rStyle w:val="VerbatimChar"/>
          </w:rPr>
          <w:t xml:space="preserve">docs/SESSION_REPORT_2026-04-19.md</w:t>
        </w:r>
      </w:hyperlink>
      <w:r>
        <w:t xml:space="preserve"> </w:t>
      </w:r>
      <w:r>
        <w:t xml:space="preserve">— rolling session report</w:t>
      </w:r>
    </w:p>
    <w:p>
      <w:pPr>
        <w:pStyle w:val="Compact"/>
        <w:numPr>
          <w:ilvl w:val="0"/>
          <w:numId w:val="1007"/>
        </w:numPr>
      </w:pPr>
      <w:hyperlink r:id="rId158">
        <w:r>
          <w:rPr>
            <w:rStyle w:val="VerbatimChar"/>
          </w:rPr>
          <w:t xml:space="preserve">docs/SYSTEMATIC_DEBUGGING_2026-04-19.md</w:t>
        </w:r>
      </w:hyperlink>
      <w:r>
        <w:t xml:space="preserve"> </w:t>
      </w:r>
      <w:r>
        <w:t xml:space="preserve">— systematic debugging session log</w:t>
      </w:r>
    </w:p>
    <w:p>
      <w:pPr>
        <w:pStyle w:val="Compact"/>
        <w:numPr>
          <w:ilvl w:val="0"/>
          <w:numId w:val="1007"/>
        </w:numPr>
      </w:pPr>
      <w:hyperlink r:id="rId159">
        <w:r>
          <w:rPr>
            <w:rStyle w:val="VerbatimChar"/>
          </w:rPr>
          <w:t xml:space="preserve">docs/Demos_Summary.md</w:t>
        </w:r>
      </w:hyperlink>
      <w:r>
        <w:t xml:space="preserve"> </w:t>
      </w:r>
      <w:r>
        <w:t xml:space="preserve">— demos domain summary</w:t>
      </w:r>
    </w:p>
    <w:p>
      <w:pPr>
        <w:pStyle w:val="Compact"/>
        <w:numPr>
          <w:ilvl w:val="0"/>
          <w:numId w:val="1007"/>
        </w:numPr>
      </w:pPr>
      <w:hyperlink r:id="rId160">
        <w:r>
          <w:rPr>
            <w:rStyle w:val="VerbatimChar"/>
          </w:rPr>
          <w:t xml:space="preserve">docs/Migration_Summary.md</w:t>
        </w:r>
      </w:hyperlink>
      <w:r>
        <w:t xml:space="preserve"> </w:t>
      </w:r>
      <w:r>
        <w:t xml:space="preserve">— migration domain summary</w:t>
      </w:r>
    </w:p>
    <w:p>
      <w:pPr>
        <w:pStyle w:val="Compact"/>
        <w:numPr>
          <w:ilvl w:val="0"/>
          <w:numId w:val="1007"/>
        </w:numPr>
      </w:pPr>
      <w:hyperlink r:id="rId161">
        <w:r>
          <w:rPr>
            <w:rStyle w:val="VerbatimChar"/>
          </w:rPr>
          <w:t xml:space="preserve">docs/Scripts_Summary.md</w:t>
        </w:r>
      </w:hyperlink>
      <w:r>
        <w:t xml:space="preserve"> </w:t>
      </w:r>
      <w:r>
        <w:t xml:space="preserve">— scripts domain summary</w:t>
      </w:r>
    </w:p>
    <w:p>
      <w:pPr>
        <w:pStyle w:val="Compact"/>
        <w:numPr>
          <w:ilvl w:val="0"/>
          <w:numId w:val="1007"/>
        </w:numPr>
      </w:pPr>
      <w:hyperlink r:id="rId162">
        <w:r>
          <w:rPr>
            <w:rStyle w:val="VerbatimChar"/>
          </w:rPr>
          <w:t xml:space="preserve">docs/Superpowers_Summary.md</w:t>
        </w:r>
      </w:hyperlink>
      <w:r>
        <w:t xml:space="preserve"> </w:t>
      </w:r>
      <w:r>
        <w:t xml:space="preserve">— superpowers domain summary</w:t>
      </w:r>
    </w:p>
    <w:bookmarkEnd w:id="163"/>
    <w:bookmarkStart w:id="166" w:name="manual-qa"/>
    <w:p>
      <w:pPr>
        <w:pStyle w:val="Heading3"/>
      </w:pPr>
      <w:r>
        <w:t xml:space="preserve">Manual QA</w:t>
      </w:r>
    </w:p>
    <w:p>
      <w:pPr>
        <w:pStyle w:val="FirstParagraph"/>
      </w:pPr>
      <w:r>
        <w:t xml:space="preserve">Per §11.4.185, automated gates are necessary but not sufficient — every release deliverable</w:t>
      </w:r>
      <w:r>
        <w:t xml:space="preserve"> </w:t>
      </w:r>
      <w:r>
        <w:t xml:space="preserve">requires a final human confirmation pass. Per-session manual-QA checklists live under</w:t>
      </w:r>
      <w:r>
        <w:t xml:space="preserve"> </w:t>
      </w:r>
      <w:hyperlink r:id="rId164">
        <w:r>
          <w:rPr>
            <w:rStyle w:val="VerbatimChar"/>
          </w:rPr>
          <w:t xml:space="preserve">docs/manual-qa/</w:t>
        </w:r>
      </w:hyperlink>
      <w:r>
        <w:t xml:space="preserve">, one file per session, in the §11.4.153 per-feature</w:t>
      </w:r>
      <w:r>
        <w:t xml:space="preserve"> </w:t>
      </w:r>
      <w:r>
        <w:t xml:space="preserve">Status/video-confirmation format.</w:t>
      </w:r>
    </w:p>
    <w:p>
      <w:pPr>
        <w:pStyle w:val="Compact"/>
        <w:numPr>
          <w:ilvl w:val="0"/>
          <w:numId w:val="1008"/>
        </w:numPr>
      </w:pPr>
      <w:hyperlink r:id="rId165">
        <w:r>
          <w:rPr>
            <w:rStyle w:val="VerbatimChar"/>
          </w:rPr>
          <w:t xml:space="preserve">docs/manual-qa/2026-08-18-session-manual-qa-checklist.md</w:t>
        </w:r>
      </w:hyperlink>
      <w:r>
        <w:t xml:space="preserve"> </w:t>
      </w:r>
      <w:r>
        <w:t xml:space="preserve">— 12-feature checklist covering the boba-stack reachability, cross-tracker search/dedup, download flow,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DDoS mitigation, constitution v68 landing, resource-pressure timer, CONST-033 challenge, and pre-build gate for the</w:t>
      </w:r>
      <w:r>
        <w:t xml:space="preserve"> </w:t>
      </w:r>
      <w:r>
        <w:rPr>
          <w:rStyle w:val="VerbatimChar"/>
        </w:rPr>
        <w:t xml:space="preserve">457cca4</w:t>
      </w:r>
      <w:r>
        <w:t xml:space="preserve">→</w:t>
      </w:r>
      <w:r>
        <w:rPr>
          <w:rStyle w:val="VerbatimChar"/>
        </w:rPr>
        <w:t xml:space="preserve">63f3f88</w:t>
      </w:r>
      <w:r>
        <w:t xml:space="preserve"> </w:t>
      </w:r>
      <w:r>
        <w:t xml:space="preserve">session range</w:t>
      </w:r>
    </w:p>
    <w:bookmarkEnd w:id="166"/>
    <w:bookmarkStart w:id="17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— catalogue of every test type (30 rows)</w:t>
      </w:r>
    </w:p>
    <w:p>
      <w:pPr>
        <w:pStyle w:val="Compact"/>
        <w:numPr>
          <w:ilvl w:val="0"/>
          <w:numId w:val="1009"/>
        </w:numPr>
      </w:pPr>
      <w:hyperlink r:id="rId168">
        <w:r>
          <w:rPr>
            <w:rStyle w:val="VerbatimChar"/>
          </w:rPr>
          <w:t xml:space="preserve">docs/COVERAGE_BASELINE.md</w:t>
        </w:r>
      </w:hyperlink>
      <w:r>
        <w:t xml:space="preserve"> </w:t>
      </w:r>
      <w:r>
        <w:t xml:space="preserve">— per-module coverage gates</w:t>
      </w:r>
    </w:p>
    <w:p>
      <w:pPr>
        <w:pStyle w:val="Compact"/>
        <w:numPr>
          <w:ilvl w:val="0"/>
          <w:numId w:val="1009"/>
        </w:numPr>
      </w:pPr>
      <w:hyperlink r:id="rId169">
        <w:r>
          <w:rPr>
            <w:rStyle w:val="VerbatimChar"/>
          </w:rPr>
          <w:t xml:space="preserve">tests/README.md</w:t>
        </w:r>
      </w:hyperlink>
      <w:r>
        <w:t xml:space="preserve"> </w:t>
      </w:r>
      <w:r>
        <w:t xml:space="preserve">— layout of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tree</w:t>
      </w:r>
    </w:p>
    <w:bookmarkEnd w:id="170"/>
    <w:bookmarkStart w:id="179" w:name="development"/>
    <w:p>
      <w:pPr>
        <w:pStyle w:val="Heading3"/>
      </w:pPr>
      <w:r>
        <w:t xml:space="preserve">Development</w:t>
      </w:r>
    </w:p>
    <w:p>
      <w:pPr>
        <w:pStyle w:val="Compact"/>
        <w:numPr>
          <w:ilvl w:val="0"/>
          <w:numId w:val="1010"/>
        </w:numPr>
      </w:pP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— contribution workflow</w:t>
      </w:r>
    </w:p>
    <w:p>
      <w:pPr>
        <w:pStyle w:val="Compact"/>
        <w:numPr>
          <w:ilvl w:val="0"/>
          <w:numId w:val="1010"/>
        </w:numPr>
      </w:pPr>
      <w:hyperlink r:id="rId17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Claude Code agent protocol (TDD + rebuild-reboot)</w:t>
      </w:r>
    </w:p>
    <w:p>
      <w:pPr>
        <w:pStyle w:val="Compact"/>
        <w:numPr>
          <w:ilvl w:val="0"/>
          <w:numId w:val="1010"/>
        </w:numPr>
      </w:pPr>
      <w:hyperlink r:id="rId173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runtime development guidance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VerbatimChar"/>
          </w:rPr>
          <w:t xml:space="preserve">.specify/memory/constitution.md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binding architectural contract (v1.1.0)</w:t>
      </w:r>
    </w:p>
    <w:p>
      <w:pPr>
        <w:pStyle w:val="Compact"/>
        <w:numPr>
          <w:ilvl w:val="0"/>
          <w:numId w:val="1010"/>
        </w:numPr>
      </w:pPr>
      <w:hyperlink r:id="rId174">
        <w:r>
          <w:rPr>
            <w:rStyle w:val="VerbatimChar"/>
          </w:rPr>
          <w:t xml:space="preserve">docs/scripts/</w:t>
        </w:r>
      </w:hyperlink>
      <w:r>
        <w:t xml:space="preserve"> </w:t>
      </w:r>
      <w:r>
        <w:t xml:space="preserve">— per-script user guides (§11.4.18), one</w:t>
      </w:r>
      <w:r>
        <w:t xml:space="preserve"> 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challenges/scripts/*.sh</w:t>
      </w:r>
      <w:r>
        <w:t xml:space="preserve"> </w:t>
      </w:r>
      <w:r>
        <w:t xml:space="preserve">— e.g. </w:t>
      </w:r>
      <w:hyperlink r:id="rId175">
        <w:r>
          <w:rPr>
            <w:rStyle w:val="VerbatimChar"/>
          </w:rPr>
          <w:t xml:space="preserve">commit-push-all.md</w:t>
        </w:r>
      </w:hyperlink>
      <w:r>
        <w:t xml:space="preserve">,</w:t>
      </w:r>
      <w:r>
        <w:t xml:space="preserve"> </w:t>
      </w:r>
      <w:hyperlink r:id="rId176">
        <w:r>
          <w:rPr>
            <w:rStyle w:val="VerbatimChar"/>
          </w:rPr>
          <w:t xml:space="preserve">capture-workable-items-db-delta.md</w:t>
        </w:r>
      </w:hyperlink>
      <w:r>
        <w:t xml:space="preserve">,</w:t>
      </w:r>
      <w:r>
        <w:t xml:space="preserve"> </w:t>
      </w:r>
      <w:hyperlink r:id="rId177">
        <w:r>
          <w:rPr>
            <w:rStyle w:val="VerbatimChar"/>
          </w:rPr>
          <w:t xml:space="preserve">regenerate-continuation-exports.md</w:t>
        </w:r>
      </w:hyperlink>
      <w:r>
        <w:t xml:space="preserve">,</w:t>
      </w:r>
      <w:r>
        <w:t xml:space="preserve"> </w:t>
      </w:r>
      <w:hyperlink r:id="rId178">
        <w:r>
          <w:rPr>
            <w:rStyle w:val="VerbatimChar"/>
          </w:rPr>
          <w:t xml:space="preserve">check_cm_lan_routes_authenticated.md</w:t>
        </w:r>
      </w:hyperlink>
      <w:r>
        <w:t xml:space="preserve"> </w:t>
      </w:r>
      <w:r>
        <w:t xml:space="preserve">(BOB-228)</w:t>
      </w:r>
    </w:p>
    <w:bookmarkEnd w:id="179"/>
    <w:bookmarkStart w:id="184" w:name="courses-self-paced-asciinema"/>
    <w:p>
      <w:pPr>
        <w:pStyle w:val="Heading3"/>
      </w:pPr>
      <w:r>
        <w:t xml:space="preserve">Courses (self-paced, Asciinema)</w:t>
      </w:r>
    </w:p>
    <w:p>
      <w:pPr>
        <w:pStyle w:val="Compact"/>
        <w:numPr>
          <w:ilvl w:val="0"/>
          <w:numId w:val="1011"/>
        </w:numPr>
      </w:pPr>
      <w:hyperlink r:id="rId180">
        <w:r>
          <w:rPr>
            <w:rStyle w:val="VerbatimChar"/>
          </w:rPr>
          <w:t xml:space="preserve">courses/01-operator/</w:t>
        </w:r>
      </w:hyperlink>
      <w:r>
        <w:t xml:space="preserve"> </w:t>
      </w:r>
      <w:r>
        <w:t xml:space="preserve">— Your first search</w:t>
      </w:r>
    </w:p>
    <w:p>
      <w:pPr>
        <w:pStyle w:val="Compact"/>
        <w:numPr>
          <w:ilvl w:val="0"/>
          <w:numId w:val="1011"/>
        </w:numPr>
      </w:pPr>
      <w:hyperlink r:id="rId181">
        <w:r>
          <w:rPr>
            <w:rStyle w:val="VerbatimChar"/>
          </w:rPr>
          <w:t xml:space="preserve">courses/02-plugin-author/</w:t>
        </w:r>
      </w:hyperlink>
      <w:r>
        <w:t xml:space="preserve"> </w:t>
      </w:r>
      <w:r>
        <w:t xml:space="preserve">— Authoring a nova3 plugin</w:t>
      </w:r>
    </w:p>
    <w:p>
      <w:pPr>
        <w:pStyle w:val="Compact"/>
        <w:numPr>
          <w:ilvl w:val="0"/>
          <w:numId w:val="1011"/>
        </w:numPr>
      </w:pPr>
      <w:hyperlink r:id="rId182">
        <w:r>
          <w:rPr>
            <w:rStyle w:val="VerbatimChar"/>
          </w:rPr>
          <w:t xml:space="preserve">courses/03-contributor/</w:t>
        </w:r>
      </w:hyperlink>
      <w:r>
        <w:t xml:space="preserve"> </w:t>
      </w:r>
      <w:r>
        <w:t xml:space="preserve">— TDD + rebuild-reboot deep dive</w:t>
      </w:r>
    </w:p>
    <w:p>
      <w:pPr>
        <w:pStyle w:val="Compact"/>
        <w:numPr>
          <w:ilvl w:val="0"/>
          <w:numId w:val="1011"/>
        </w:numPr>
      </w:pPr>
      <w:hyperlink r:id="rId183">
        <w:r>
          <w:rPr>
            <w:rStyle w:val="VerbatimChar"/>
          </w:rPr>
          <w:t xml:space="preserve">courses/04-security-ops/</w:t>
        </w:r>
      </w:hyperlink>
      <w:r>
        <w:t xml:space="preserve"> </w:t>
      </w:r>
      <w:r>
        <w:t xml:space="preserve">— Threat model + scanner bundle</w:t>
      </w:r>
    </w:p>
    <w:bookmarkEnd w:id="184"/>
    <w:bookmarkStart w:id="188" w:name="release-ci"/>
    <w:p>
      <w:pPr>
        <w:pStyle w:val="Heading3"/>
      </w:pPr>
      <w:r>
        <w:t xml:space="preserve">Release / CI</w:t>
      </w:r>
    </w:p>
    <w:p>
      <w:pPr>
        <w:pStyle w:val="Compact"/>
        <w:numPr>
          <w:ilvl w:val="0"/>
          <w:numId w:val="1012"/>
        </w:numPr>
      </w:pPr>
      <w:hyperlink r:id="rId185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2"/>
        </w:numPr>
      </w:pPr>
      <w:hyperlink r:id="rId186">
        <w:r>
          <w:rPr>
            <w:rStyle w:val="VerbatimChar"/>
          </w:rPr>
          <w:t xml:space="preserve">releases/README.md</w:t>
        </w:r>
      </w:hyperlink>
      <w:r>
        <w:t xml:space="preserve"> </w:t>
      </w:r>
      <w:r>
        <w:t xml:space="preserve">— release artefacts layout</w:t>
      </w:r>
    </w:p>
    <w:p>
      <w:pPr>
        <w:pStyle w:val="Compact"/>
        <w:numPr>
          <w:ilvl w:val="0"/>
          <w:numId w:val="1012"/>
        </w:numPr>
      </w:pPr>
      <w:hyperlink r:id="rId187">
        <w:r>
          <w:rPr>
            <w:rStyle w:val="VerbatimChar"/>
          </w:rPr>
          <w:t xml:space="preserve">docs/OUT_OF_SANDBOX.md</w:t>
        </w:r>
      </w:hyperlink>
      <w:r>
        <w:t xml:space="preserve"> </w:t>
      </w:r>
      <w:r>
        <w:t xml:space="preserve">— items requiring external credentials (HelixQA / OpenCode / submodule orgs)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qbittorrent-proxy        │</w:t>
      </w:r>
      <w:r>
        <w:br/>
      </w:r>
      <w:r>
        <w:rPr>
          <w:rStyle w:val="VerbatimChar"/>
        </w:rPr>
        <w:t xml:space="preserve">                       │      (python:3.12-alpine)      │</w:t>
      </w:r>
      <w:r>
        <w:br/>
      </w:r>
      <w:r>
        <w:rPr>
          <w:rStyle w:val="VerbatimChar"/>
        </w:rPr>
        <w:t xml:space="preserve">  http://:7186 ────────┤                                 │</w:t>
      </w:r>
      <w:r>
        <w:br/>
      </w:r>
      <w:r>
        <w:rPr>
          <w:rStyle w:val="VerbatimChar"/>
        </w:rPr>
        <w:t xml:space="preserve">   Download proxy      │  Download proxy (:7186) ────────┼──► qBittorrent (:7185)</w:t>
      </w:r>
      <w:r>
        <w:br/>
      </w:r>
      <w:r>
        <w:rPr>
          <w:rStyle w:val="VerbatimChar"/>
        </w:rPr>
        <w:t xml:space="preserve">                       │                                 │</w:t>
      </w:r>
      <w:r>
        <w:br/>
      </w:r>
      <w:r>
        <w:rPr>
          <w:rStyle w:val="VerbatimChar"/>
        </w:rPr>
        <w:t xml:space="preserve">  http://:7187 ────────┤  Merge search service (:7187)   │</w:t>
      </w:r>
      <w:r>
        <w:br/>
      </w:r>
      <w:r>
        <w:rPr>
          <w:rStyle w:val="VerbatimChar"/>
        </w:rPr>
        <w:t xml:space="preserve">   Angular SPA +       │  ├── /api/v1/search + SSE       │</w:t>
      </w:r>
      <w:r>
        <w:br/>
      </w:r>
      <w:r>
        <w:rPr>
          <w:rStyle w:val="VerbatimChar"/>
        </w:rPr>
        <w:t xml:space="preserve">   FastAPI             │  ├── /api/v1/bridge/health      │</w:t>
      </w:r>
      <w:r>
        <w:br/>
      </w:r>
      <w:r>
        <w:rPr>
          <w:rStyle w:val="VerbatimChar"/>
        </w:rPr>
        <w:t xml:space="preserve">                       │  └── /api/v1/auth/...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http://:7188 ── boba-webui-bridge.service (Go, host process) — private-tracker bridge</w:t>
      </w:r>
      <w:r>
        <w:br/>
      </w:r>
      <w:r>
        <w:br/>
      </w:r>
      <w:r>
        <w:rPr>
          <w:rStyle w:val="VerbatimChar"/>
        </w:rPr>
        <w:t xml:space="preserve">Opt-in (docker-compose.quality.yml):</w:t>
      </w:r>
      <w:r>
        <w:br/>
      </w:r>
      <w:r>
        <w:rPr>
          <w:rStyle w:val="VerbatimChar"/>
        </w:rPr>
        <w:t xml:space="preserve">   http://:9000   SonarQube              profile: quality</w:t>
      </w:r>
      <w:r>
        <w:br/>
      </w:r>
      <w:r>
        <w:rPr>
          <w:rStyle w:val="VerbatimChar"/>
        </w:rPr>
        <w:t xml:space="preserve">   http://:9090   Prometheus             profile: observability</w:t>
      </w:r>
      <w:r>
        <w:br/>
      </w:r>
      <w:r>
        <w:rPr>
          <w:rStyle w:val="VerbatimChar"/>
        </w:rPr>
        <w:t xml:space="preserve">   http://:3000   Grafana                profile: observability</w:t>
      </w:r>
      <w:r>
        <w:br/>
      </w:r>
      <w:r>
        <w:rPr>
          <w:rStyle w:val="VerbatimChar"/>
        </w:rPr>
        <w:t xml:space="preserve">   (run-once)     Snyk / Semgrep /</w:t>
      </w:r>
      <w:r>
        <w:br/>
      </w:r>
      <w:r>
        <w:rPr>
          <w:rStyle w:val="VerbatimChar"/>
        </w:rPr>
        <w:t xml:space="preserve">                  Trivy / Gitleaks       profile: run-once</w:t>
      </w:r>
    </w:p>
    <w:p>
      <w:pPr>
        <w:pStyle w:val="FirstParagraph"/>
      </w:pPr>
      <w:r>
        <w:t xml:space="preserve">Full Mermaid renders in</w:t>
      </w:r>
      <w:r>
        <w:t xml:space="preserve"> </w:t>
      </w:r>
      <w:hyperlink r:id="rId118">
        <w:r>
          <w:rPr>
            <w:rStyle w:val="VerbatimChar"/>
          </w:rPr>
          <w:t xml:space="preserve">docs/architecture/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testing-1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Non-live-HTTP suites — run anywhere, ~10s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tests/e2e/ tests/contract/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Benchmarks — dedupe perf + live-HTTP fan-out benchmarks, ~4min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tests/benchmark/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Security — hits the live merge service, needs stack up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tests/security/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Integration — same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requires_credentials"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frontend ng test </w:t>
      </w:r>
      <w:r>
        <w:rPr>
          <w:rStyle w:val="AttributeTok"/>
        </w:rPr>
        <w:t xml:space="preserve">--watch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Full scanner sweep (non-interactive; skips scanners with missing tokens)</w:t>
      </w:r>
      <w:r>
        <w:br/>
      </w:r>
      <w:r>
        <w:rPr>
          <w:rStyle w:val="ExtensionTok"/>
        </w:rPr>
        <w:t xml:space="preserve">./scripts/scan.sh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Pre-build invariant sweep — 25 checks (workable-items integrity, docs-chain</w:t>
      </w:r>
      <w:r>
        <w:br/>
      </w:r>
      <w:r>
        <w:rPr>
          <w:rStyle w:val="CommentTok"/>
        </w:rPr>
        <w:t xml:space="preserve"># sync, resource-pressure signature, mutation-residue, §11.4.238 discovery</w:t>
      </w:r>
      <w:r>
        <w:br/>
      </w:r>
      <w:r>
        <w:rPr>
          <w:rStyle w:val="CommentTok"/>
        </w:rPr>
        <w:t xml:space="preserve"># ledger freshness, ...) run before every build</w:t>
      </w:r>
      <w:r>
        <w:br/>
      </w:r>
      <w:r>
        <w:rPr>
          <w:rStyle w:val="ExtensionTok"/>
        </w:rPr>
        <w:t xml:space="preserve">./scripts/pre_build_verification.sh</w:t>
      </w:r>
      <w:r>
        <w:br/>
      </w:r>
      <w:r>
        <w:br/>
      </w:r>
      <w:r>
        <w:rPr>
          <w:rStyle w:val="CommentTok"/>
        </w:rPr>
        <w:t xml:space="preserve"># HelixQA Challenges — 31 scripts under challenges/scripts/, e.g.:</w:t>
      </w:r>
      <w:r>
        <w:br/>
      </w:r>
      <w:r>
        <w:rPr>
          <w:rStyle w:val="ExtensionTok"/>
        </w:rPr>
        <w:t xml:space="preserve">./challenges/scripts/resource_pressure_signature_challenge.sh</w:t>
      </w:r>
      <w:r>
        <w:br/>
      </w:r>
      <w:r>
        <w:rPr>
          <w:rStyle w:val="ExtensionTok"/>
        </w:rPr>
        <w:t xml:space="preserve">./challenges/scripts/ddos_resilience_challenge.sh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--healthz</w:t>
      </w:r>
    </w:p>
    <w:p>
      <w:pPr>
        <w:pStyle w:val="FirstParagraph"/>
      </w:pPr>
      <w:r>
        <w:t xml:space="preserve">See</w:t>
      </w:r>
      <w:r>
        <w:t xml:space="preserve"> </w:t>
      </w: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30-row test-type catalogue.</w:t>
      </w:r>
    </w:p>
    <w:p>
      <w:r>
        <w:pict>
          <v:rect style="width:0;height:1.5pt" o:hralign="center" o:hrstd="t" o:hr="t"/>
        </w:pict>
      </w:r>
    </w:p>
    <w:bookmarkEnd w:id="191"/>
    <w:bookmarkStart w:id="193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Non-interactive builder at</w:t>
      </w:r>
      <w:r>
        <w:t xml:space="preserve"> </w:t>
      </w:r>
      <w:hyperlink r:id="rId192">
        <w:r>
          <w:rPr>
            <w:rStyle w:val="VerbatimChar"/>
          </w:rPr>
          <w:t xml:space="preserve">scripts/build-releases.sh</w:t>
        </w:r>
      </w:hyperlink>
      <w:r>
        <w:t xml:space="preserve"> </w:t>
      </w:r>
      <w:r>
        <w:t xml:space="preserve">produces artefacts under</w:t>
      </w:r>
      <w:r>
        <w:t xml:space="preserve"> </w:t>
      </w:r>
      <w:hyperlink r:id="rId186">
        <w:r>
          <w:rPr>
            <w:rStyle w:val="VerbatimChar"/>
          </w:rPr>
          <w:t xml:space="preserve">releases/&lt;version&gt;/</w:t>
        </w:r>
      </w:hyperlink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all targets, all channels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frontend     </w:t>
      </w:r>
      <w:r>
        <w:rPr>
          <w:rStyle w:val="CommentTok"/>
        </w:rPr>
        <w:t xml:space="preserve"># one target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Each artefact ships with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BUILD_INFO.json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3"/>
    <w:bookmarkStart w:id="19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See</w:t>
      </w:r>
      <w:r>
        <w:t xml:space="preserve"> </w:t>
      </w: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and the TDD protocol in</w:t>
      </w:r>
      <w:r>
        <w:t xml:space="preserve"> </w:t>
      </w:r>
      <w:hyperlink r:id="rId172">
        <w:r>
          <w:rPr>
            <w:rStyle w:val="VerbatimChar"/>
          </w:rPr>
          <w:t xml:space="preserve">CLAUDE.md</w:t>
        </w:r>
      </w:hyperlink>
      <w:r>
        <w:t xml:space="preserve">. PRs must keep the following green:</w:t>
      </w:r>
    </w:p>
    <w:p>
      <w:pPr>
        <w:pStyle w:val="Compact"/>
        <w:numPr>
          <w:ilvl w:val="0"/>
          <w:numId w:val="1013"/>
        </w:numPr>
      </w:pPr>
      <w:r>
        <w:t xml:space="preserve">Python unit + e2e + contract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5077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Frontend Vitest (</w:t>
      </w:r>
      <w:r>
        <w:rPr>
          <w:rStyle w:val="VerbatimChar"/>
        </w:rPr>
        <w:t xml:space="preserve">ng test</w:t>
      </w:r>
      <w:r>
        <w:t xml:space="preserve"> </w:t>
      </w:r>
      <w:r>
        <w:t xml:space="preserve">— 2743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Ruff + bandit + shellcheck (via</w:t>
      </w:r>
      <w:r>
        <w:t xml:space="preserve"> </w:t>
      </w:r>
      <w:r>
        <w:rPr>
          <w:rStyle w:val="VerbatimChar"/>
        </w:rPr>
        <w:t xml:space="preserve">scripts/scan.sh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4"/>
    <w:bookmarkStart w:id="19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hyperlink r:id="rId195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2026-09-25T09:14:24Z</dcterms:created>
  <dcterms:modified xsi:type="dcterms:W3CDTF">2026-09-25T09:14:24Z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