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wen.md"/>
    <w:p>
      <w:pPr>
        <w:pStyle w:val="Heading1"/>
      </w:pPr>
      <w:r>
        <w:t xml:space="preserve">QWEN.md</w:t>
      </w:r>
    </w:p>
    <w:p>
      <w:pPr>
        <w:pStyle w:val="FirstParagraph"/>
      </w:pPr>
      <w:r>
        <w:t xml:space="preserve">This project inherits all rules from</w:t>
      </w:r>
      <w:r>
        <w:t xml:space="preserve"> </w:t>
      </w:r>
      <w:r>
        <w:rPr>
          <w:rStyle w:val="VerbatimChar"/>
        </w:rPr>
        <w:t xml:space="preserve">constitution/QWEN.md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Propagated clauses:</w:t>
      </w:r>
      <w:r>
        <w:t xml:space="preserve"> </w:t>
      </w:r>
      <w:r>
        <w:t xml:space="preserve">§11.4.10, §11.4.30, §11.4.44, §11.4.65, §11.4.75, §11.4.85, §11.4.109, §11.4.113, §11.4.125, §11.4.78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2026-09-01T16:18:20Z</dcterms:created>
  <dcterms:modified xsi:type="dcterms:W3CDTF">2026-09-01T16:18:20Z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