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degraph-summary"/>
    <w:p>
      <w:pPr>
        <w:pStyle w:val="Heading1"/>
      </w:pPr>
      <w:r>
        <w:t xml:space="preserve">CodeGraph Summary</w:t>
      </w:r>
    </w:p>
    <w:p>
      <w:pPr>
        <w:pStyle w:val="FirstParagraph"/>
      </w:pPr>
      <w:r>
        <w:t xml:space="preserve">CodeGraph integration: install, update, sync, and validate events tracking compliance with Constitution §§11.4.78-80.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Status.md</w:t>
      </w:r>
      <w:r>
        <w:t xml:space="preserve"> </w:t>
      </w:r>
      <w:r>
        <w:t xml:space="preserve">— Append-only ledger of all CodeGraph operations for the Boba project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Domain: CodeGraph</w:t>
      </w:r>
    </w:p>
    <w:p>
      <w:pPr>
        <w:pStyle w:val="Compact"/>
        <w:numPr>
          <w:ilvl w:val="0"/>
          <w:numId w:val="1002"/>
        </w:numPr>
      </w:pPr>
      <w:r>
        <w:t xml:space="preserve">Docs count: 1</w:t>
      </w:r>
    </w:p>
    <w:p>
      <w:pPr>
        <w:pStyle w:val="Compact"/>
        <w:numPr>
          <w:ilvl w:val="0"/>
          <w:numId w:val="1002"/>
        </w:numPr>
      </w:pPr>
      <w:r>
        <w:t xml:space="preserve">Index health: active (indexed files available, see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for last sync timestamp)</w:t>
      </w:r>
    </w:p>
    <w:p>
      <w:pPr>
        <w:pStyle w:val="Compact"/>
        <w:numPr>
          <w:ilvl w:val="0"/>
          <w:numId w:val="1002"/>
        </w:numPr>
      </w:pPr>
      <w:r>
        <w:t xml:space="preserve">Last reviewed: 2026-06-08</w:t>
      </w:r>
    </w:p>
    <w:bookmarkEnd w:id="10"/>
    <w:bookmarkStart w:id="11" w:name="key-events"/>
    <w:p>
      <w:pPr>
        <w:pStyle w:val="Heading2"/>
      </w:pPr>
      <w:r>
        <w:t xml:space="preserve">Key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Initial CodeGraph install and index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t xml:space="preserve">Index sync after constitution rebase and submodule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Index re-validated after mutmut path restructure</w:t>
            </w:r>
          </w:p>
        </w:tc>
      </w:tr>
    </w:tbl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The CodeGraph index is validated by: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docs/scripts/codegraph_validate.md</w:t>
      </w:r>
      <w:r>
        <w:t xml:space="preserve"> </w:t>
      </w:r>
      <w:r>
        <w:t xml:space="preserve">— anti-bluff verifier proving the local index is real and correctly scoped</w:t>
      </w:r>
      <w:r>
        <w:t xml:space="preserve"> </w:t>
      </w:r>
      <w:r>
        <w:t xml:space="preserve">2. Pre-build gate invariant CM-MARKDOWN-EXPORT-SYNC checks index freshness</w:t>
      </w:r>
      <w:r>
        <w:t xml:space="preserve"> </w:t>
      </w:r>
      <w:r>
        <w:t xml:space="preserve">3. Manual:</w:t>
      </w:r>
      <w:r>
        <w:t xml:space="preserve"> </w:t>
      </w:r>
      <w:r>
        <w:rPr>
          <w:rStyle w:val="VerbatimChar"/>
        </w:rPr>
        <w:t xml:space="preserve">codegraph_codegraph_status</w:t>
      </w:r>
      <w:r>
        <w:t xml:space="preserve"> </w:t>
      </w:r>
      <w:r>
        <w:t xml:space="preserve">tool (health check)</w:t>
      </w:r>
    </w:p>
    <w:bookmarkEnd w:id="12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Scripts Summary</w:t>
        </w:r>
      </w:hyperlink>
      <w:r>
        <w:t xml:space="preserve"> </w:t>
      </w:r>
      <w:r>
        <w:t xml:space="preserve">— CodeGraph verification script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Architecture Summary</w:t>
        </w:r>
      </w:hyperlink>
      <w:r>
        <w:t xml:space="preserve"> </w:t>
      </w:r>
      <w:r>
        <w:t xml:space="preserve">— system topology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Architecture_Summary.md" TargetMode="External" /><Relationship Type="http://schemas.openxmlformats.org/officeDocument/2006/relationships/hyperlink" Id="rId13" Target="scripts/codegraph_valid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Architecture_Summary.md" TargetMode="External" /><Relationship Type="http://schemas.openxmlformats.org/officeDocument/2006/relationships/hyperlink" Id="rId13" Target="scripts/codegraph_valid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2026-09-01T16:27:26Z</dcterms:created>
  <dcterms:modified xsi:type="dcterms:W3CDTF">2026-09-01T16:27:26Z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