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esign-system-runtime-palette"/>
    <w:p>
      <w:pPr>
        <w:pStyle w:val="Heading1"/>
      </w:pPr>
      <w:r>
        <w:t xml:space="preserve">Design System — Runtime Palette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The dashboard, admin surfaces, and every embedded app share a single</w:t>
      </w:r>
      <w:r>
        <w:t xml:space="preserve"> </w:t>
      </w:r>
      <w:r>
        <w:t xml:space="preserve">runtime-switchable colour system. Palettes are applied to</w:t>
      </w:r>
      <w:r>
        <w:t xml:space="preserve"> </w:t>
      </w:r>
      <w:r>
        <w:rPr>
          <w:rStyle w:val="VerbatimChar"/>
        </w:rPr>
        <w:t xml:space="preserve">document.documentElement</w:t>
      </w:r>
      <w:r>
        <w:t xml:space="preserve"> </w:t>
      </w:r>
      <w:r>
        <w:t xml:space="preserve">as CSS custom properties by</w:t>
      </w:r>
      <w:r>
        <w:t xml:space="preserve"> </w:t>
      </w:r>
      <w:r>
        <w:rPr>
          <w:rStyle w:val="VerbatimChar"/>
        </w:rPr>
        <w:t xml:space="preserve">ThemeService</w:t>
      </w:r>
      <w:r>
        <w:t xml:space="preserve">, so every bit of UI that reads</w:t>
      </w:r>
      <w:r>
        <w:t xml:space="preserve"> </w:t>
      </w:r>
      <w:r>
        <w:rPr>
          <w:rStyle w:val="VerbatimChar"/>
        </w:rPr>
        <w:t xml:space="preserve">var(--color-*)</w:t>
      </w:r>
      <w:r>
        <w:t xml:space="preserve"> </w:t>
      </w:r>
      <w:r>
        <w:t xml:space="preserve">picks</w:t>
      </w:r>
      <w:r>
        <w:t xml:space="preserve"> </w:t>
      </w:r>
      <w:r>
        <w:t xml:space="preserve">up the change instantly.</w:t>
      </w:r>
    </w:p>
    <w:bookmarkStart w:id="9" w:name="why-darcula-9d001e"/>
    <w:p>
      <w:pPr>
        <w:pStyle w:val="Heading2"/>
      </w:pPr>
      <w:r>
        <w:t xml:space="preserve">Why Darcula +</w:t>
      </w:r>
      <w:r>
        <w:t xml:space="preserve"> </w:t>
      </w:r>
      <w:r>
        <w:rPr>
          <w:rStyle w:val="VerbatimChar"/>
        </w:rPr>
        <w:t xml:space="preserve">#9d001e</w:t>
      </w:r>
      <w:r>
        <w:t xml:space="preserve">?</w:t>
      </w:r>
    </w:p>
    <w:p>
      <w:pPr>
        <w:pStyle w:val="FirstParagraph"/>
      </w:pPr>
      <w:r>
        <w:t xml:space="preserve">The default palette is</w:t>
      </w:r>
      <w:r>
        <w:t xml:space="preserve"> </w:t>
      </w:r>
      <w:r>
        <w:rPr>
          <w:b/>
          <w:bCs/>
        </w:rPr>
        <w:t xml:space="preserve">Darcula</w:t>
      </w:r>
      <w:r>
        <w:t xml:space="preserve"> </w:t>
      </w:r>
      <w:r>
        <w:t xml:space="preserve">(the JetBrains IDE greys) paired</w:t>
      </w:r>
      <w:r>
        <w:t xml:space="preserve"> </w:t>
      </w:r>
      <w:r>
        <w:t xml:space="preserve">with a blood-red accent extracted directly from</w:t>
      </w:r>
      <w:r>
        <w:t xml:space="preserve"> </w:t>
      </w:r>
      <w:r>
        <w:rPr>
          <w:rStyle w:val="VerbatimChar"/>
        </w:rPr>
        <w:t xml:space="preserve">assets/Logo.jpeg</w:t>
      </w:r>
      <w:r>
        <w:t xml:space="preserve"> </w:t>
      </w:r>
      <w:r>
        <w:t xml:space="preserve">— the qBittorrent logo. The accent is</w:t>
      </w:r>
      <w:r>
        <w:t xml:space="preserve"> </w:t>
      </w:r>
      <w:r>
        <w:rPr>
          <w:rStyle w:val="VerbatimChar"/>
        </w:rPr>
        <w:t xml:space="preserve">#9d001e</w:t>
      </w:r>
      <w:r>
        <w:t xml:space="preserve">.</w:t>
      </w:r>
      <w:r>
        <w:t xml:space="preserve"> </w:t>
      </w:r>
      <w:r>
        <w:t xml:space="preserve">A warm gold contrast (</w:t>
      </w:r>
      <w:r>
        <w:rPr>
          <w:rStyle w:val="VerbatimChar"/>
        </w:rPr>
        <w:t xml:space="preserve">#d9a441</w:t>
      </w:r>
      <w:r>
        <w:t xml:space="preserve">) is the secondary accent for badges</w:t>
      </w:r>
      <w:r>
        <w:t xml:space="preserve"> </w:t>
      </w:r>
      <w:r>
        <w:t xml:space="preserve">and freeleech pills. This pairing keeps the UI distinctly on-brand</w:t>
      </w:r>
      <w:r>
        <w:t xml:space="preserve"> </w:t>
      </w:r>
      <w:r>
        <w:t xml:space="preserve">while staying neutral enough to remain readable under long sessions.</w:t>
      </w:r>
    </w:p>
    <w:bookmarkEnd w:id="9"/>
    <w:bookmarkStart w:id="26" w:name="catalogue"/>
    <w:p>
      <w:pPr>
        <w:pStyle w:val="Heading2"/>
      </w:pPr>
      <w:r>
        <w:t xml:space="preserve">Catalogue</w:t>
      </w:r>
    </w:p>
    <w:p>
      <w:pPr>
        <w:pStyle w:val="FirstParagraph"/>
      </w:pPr>
      <w:r>
        <w:t xml:space="preserve">Eight palettes ship out of the box. Every palette supplies a</w:t>
      </w:r>
      <w:r>
        <w:t xml:space="preserve"> </w:t>
      </w:r>
      <w:r>
        <w:rPr>
          <w:b/>
          <w:bCs/>
        </w:rPr>
        <w:t xml:space="preserve">dark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light</w:t>
      </w:r>
      <w:r>
        <w:t xml:space="preserve"> </w:t>
      </w:r>
      <w:r>
        <w:t xml:space="preserve">variant. Sources are linked next to each palette name.</w:t>
      </w:r>
    </w:p>
    <w:bookmarkStart w:id="11" w:name="darcula"/>
    <w:p>
      <w:pPr>
        <w:pStyle w:val="Heading3"/>
      </w:pPr>
      <w:r>
        <w:t xml:space="preserve">Darcula</w:t>
      </w:r>
    </w:p>
    <w:p>
      <w:pPr>
        <w:pStyle w:val="FirstParagraph"/>
      </w:pPr>
      <w:r>
        <w:t xml:space="preserve">JetBrains Darcula greys — paired with the qBittorrent logo’s blood-red.</w:t>
      </w:r>
      <w:r>
        <w:t xml:space="preserve"> </w:t>
      </w:r>
      <w:r>
        <w:t xml:space="preserve">Source:</w:t>
      </w:r>
      <w:r>
        <w:t xml:space="preserve"> </w:t>
      </w:r>
      <w:hyperlink r:id="rId10">
        <w:r>
          <w:rPr>
            <w:rStyle w:val="Hyperlink"/>
          </w:rPr>
          <w:t xml:space="preserve">https://colorshexa.com/palette/darcula-palette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#2b2b2b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#3c3f41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#f2f2f2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#4e5254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#e4e4e4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#555555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#c9c9c9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#a9b7c6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#1c1c1c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#808080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#555555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#9d001e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#9d001e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#c4002a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#7d0017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#d9a441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#b07d1f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#6a8759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#0a7b28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#cc7832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#c9302c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#d9a441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#b07d1f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#6897bb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#1e6fa8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#9876aa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#6f42c1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rgba(0,0,0,0.12)</w:t>
            </w:r>
          </w:p>
        </w:tc>
      </w:tr>
    </w:tbl>
    <w:bookmarkEnd w:id="11"/>
    <w:bookmarkStart w:id="13" w:name="dracula"/>
    <w:p>
      <w:pPr>
        <w:pStyle w:val="Heading3"/>
      </w:pPr>
      <w:r>
        <w:t xml:space="preserve">Dracula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2">
        <w:r>
          <w:rPr>
            <w:rStyle w:val="Hyperlink"/>
          </w:rPr>
          <w:t xml:space="preserve">https://draculatheme.com/contribute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#282a36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#f8f8f2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#343746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#eeeeec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#44475a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#e0e0da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#6272a4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#c9c9c0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#f8f8f2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#282a36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#bfbfbf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#6272a4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#ff79c6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#d6336c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#ff92d0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#bd255a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#bd93f9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#7048e8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#50fa7b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#2b8a3e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#ff5555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#c92a2a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#f1fa8c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#b08900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#8be9fd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#1c7ed6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#bd93f9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#6741d9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rgba(0,0,0,0.12)</w:t>
            </w:r>
          </w:p>
        </w:tc>
      </w:tr>
    </w:tbl>
    <w:bookmarkEnd w:id="13"/>
    <w:bookmarkStart w:id="15" w:name="solarized"/>
    <w:p>
      <w:pPr>
        <w:pStyle w:val="Heading3"/>
      </w:pPr>
      <w:r>
        <w:t xml:space="preserve">Solarized</w:t>
      </w:r>
    </w:p>
    <w:p>
      <w:pPr>
        <w:pStyle w:val="FirstParagraph"/>
      </w:pPr>
      <w:r>
        <w:t xml:space="preserve">Ethan Schoonover’s Solarized — precision colours for machines and people.</w:t>
      </w:r>
      <w:r>
        <w:t xml:space="preserve"> </w:t>
      </w:r>
      <w:r>
        <w:t xml:space="preserve">Source:</w:t>
      </w:r>
      <w:r>
        <w:t xml:space="preserve"> </w:t>
      </w:r>
      <w:hyperlink r:id="rId14">
        <w:r>
          <w:rPr>
            <w:rStyle w:val="Hyperlink"/>
          </w:rPr>
          <w:t xml:space="preserve">https://colorshexa.com/palette/solarized-palette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#002b36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#fdf6e3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#073642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#eee8d5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#0a4453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#d9d2bf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#586e75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#93a1a1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#93a1a1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#073642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#657b83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#657b83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#268bd2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#268bd2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#2aa198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#1d70ad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#b58900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#b58900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#859900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#859900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#dc322f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#dc322f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#b58900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#b58900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#268bd2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#268bd2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#6c71c4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#6c71c4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rgba(0,0,0,0.12)</w:t>
            </w:r>
          </w:p>
        </w:tc>
      </w:tr>
    </w:tbl>
    <w:bookmarkEnd w:id="15"/>
    <w:bookmarkStart w:id="17" w:name="nord"/>
    <w:p>
      <w:pPr>
        <w:pStyle w:val="Heading3"/>
      </w:pPr>
      <w:r>
        <w:t xml:space="preserve">Nord</w:t>
      </w:r>
    </w:p>
    <w:p>
      <w:pPr>
        <w:pStyle w:val="FirstParagraph"/>
      </w:pPr>
      <w:r>
        <w:t xml:space="preserve">Arctic, north-bluish clean and elegant.</w:t>
      </w:r>
      <w:r>
        <w:t xml:space="preserve"> </w:t>
      </w:r>
      <w:r>
        <w:t xml:space="preserve">Source:</w:t>
      </w:r>
      <w:r>
        <w:t xml:space="preserve"> </w:t>
      </w:r>
      <w:hyperlink r:id="rId16">
        <w:r>
          <w:rPr>
            <w:rStyle w:val="Hyperlink"/>
          </w:rPr>
          <w:t xml:space="preserve">https://colorshexa.com/palette/nord-palette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#2e3440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#eceff4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#3b4252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#e5e9f0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#434c5e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#d8dee9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#4c566a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#b8c0ce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#eceff4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#2e3440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#d8dee9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#4c566a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#88c0d0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#5e81ac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#8fbcbb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#4c6e95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#ebcb8b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#d08770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#a3be8c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#5b8c3a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#bf616a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#bf616a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#ebcb8b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#b08900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#81a1c1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#81a1c1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#b48ead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#b48ead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rgba(0,0,0,0.12)</w:t>
            </w:r>
          </w:p>
        </w:tc>
      </w:tr>
    </w:tbl>
    <w:bookmarkEnd w:id="17"/>
    <w:bookmarkStart w:id="19" w:name="monokai"/>
    <w:p>
      <w:pPr>
        <w:pStyle w:val="Heading3"/>
      </w:pPr>
      <w:r>
        <w:t xml:space="preserve">Monokai</w:t>
      </w:r>
    </w:p>
    <w:p>
      <w:pPr>
        <w:pStyle w:val="FirstParagraph"/>
      </w:pPr>
      <w:r>
        <w:t xml:space="preserve">Wimer Hazenberg’s Monokai — the iconic Sublime Text palette.</w:t>
      </w:r>
      <w:r>
        <w:t xml:space="preserve"> </w:t>
      </w:r>
      <w:r>
        <w:t xml:space="preserve">Source:</w:t>
      </w:r>
      <w:r>
        <w:t xml:space="preserve"> </w:t>
      </w:r>
      <w:hyperlink r:id="rId18">
        <w:r>
          <w:rPr>
            <w:rStyle w:val="Hyperlink"/>
          </w:rPr>
          <w:t xml:space="preserve">https://colorshexa.com/palette/monokai-palette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#272822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#383830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#ededeb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#49483e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#dddbcf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#75715e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#b0ad9e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#f8f8f2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#272822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#cfcfc2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#75715e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#f92672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#d63384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#ff4890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#b5256e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#a6e22e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#689822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#a6e22e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#689822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#f92672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#c02450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#fd971f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#c6660a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#66d9ef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#2a9ab4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#ae81ff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#7a4ddb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rgba(0,0,0,0.12)</w:t>
            </w:r>
          </w:p>
        </w:tc>
      </w:tr>
    </w:tbl>
    <w:bookmarkEnd w:id="19"/>
    <w:bookmarkStart w:id="21" w:name="gruvbox"/>
    <w:p>
      <w:pPr>
        <w:pStyle w:val="Heading3"/>
      </w:pPr>
      <w:r>
        <w:t xml:space="preserve">Gruvbox</w:t>
      </w:r>
    </w:p>
    <w:p>
      <w:pPr>
        <w:pStyle w:val="FirstParagraph"/>
      </w:pPr>
      <w:r>
        <w:t xml:space="preserve">Retro groove colour scheme — warm, earthy, high-contrast.</w:t>
      </w:r>
      <w:r>
        <w:t xml:space="preserve"> </w:t>
      </w: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https://colorshexa.com/palette/gruvbox-palette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#282828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#fbf1c7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#3c3836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#ebdbb2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#504945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#d5c4a1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#665c54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#bdae93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#ebdbb2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#3c3836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#a89984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#665c54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#fb4934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#9d0006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#cc241d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#79111e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#fabd2f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#b57614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#b8bb26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#79740e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#fb4934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#9d0006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#fabd2f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#b57614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#83a598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#076678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#d3869b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#8f3f71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rgba(0,0,0,0.12)</w:t>
            </w:r>
          </w:p>
        </w:tc>
      </w:tr>
    </w:tbl>
    <w:bookmarkEnd w:id="21"/>
    <w:bookmarkStart w:id="23" w:name="one-dark"/>
    <w:p>
      <w:pPr>
        <w:pStyle w:val="Heading3"/>
      </w:pPr>
      <w:r>
        <w:t xml:space="preserve">One Dark</w:t>
      </w:r>
    </w:p>
    <w:p>
      <w:pPr>
        <w:pStyle w:val="FirstParagraph"/>
      </w:pPr>
      <w:r>
        <w:t xml:space="preserve">Atom One Dark — balanced, signature editor palette.</w:t>
      </w:r>
      <w:r>
        <w:t xml:space="preserve"> </w:t>
      </w:r>
      <w:r>
        <w:t xml:space="preserve">Source:</w:t>
      </w:r>
      <w:r>
        <w:t xml:space="preserve"> </w:t>
      </w:r>
      <w:hyperlink r:id="rId22">
        <w:r>
          <w:rPr>
            <w:rStyle w:val="Hyperlink"/>
          </w:rPr>
          <w:t xml:space="preserve">https://colorshexa.com/palette/one-dark-palette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#282c34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#353b45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#eaeaeb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#3e4451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#d3d3d5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#4b5263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#a0a1a7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#abb2bf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#383a42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#7f848e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#696c77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#61afef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#4078f2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#4e96d6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#2e62cc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#e5c07b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#986801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#98c379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#50a14f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#e06c75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#e45649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#e5c07b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#c18401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#56b6c2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#0184bc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#c678dd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#a626a4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rgba(0,0,0,0.12)</w:t>
            </w:r>
          </w:p>
        </w:tc>
      </w:tr>
    </w:tbl>
    <w:bookmarkEnd w:id="23"/>
    <w:bookmarkStart w:id="25" w:name="tokyo-night"/>
    <w:p>
      <w:pPr>
        <w:pStyle w:val="Heading3"/>
      </w:pPr>
      <w:r>
        <w:t xml:space="preserve">Tokyo Night</w:t>
      </w:r>
    </w:p>
    <w:p>
      <w:pPr>
        <w:pStyle w:val="FirstParagraph"/>
      </w:pPr>
      <w:r>
        <w:t xml:space="preserve">Clean, dark urban palette inspired by Tokyo’s lights.</w:t>
      </w:r>
      <w:r>
        <w:t xml:space="preserve"> </w:t>
      </w:r>
      <w:r>
        <w:t xml:space="preserve">Source:</w:t>
      </w:r>
      <w:r>
        <w:t xml:space="preserve"> </w:t>
      </w:r>
      <w:hyperlink r:id="rId24">
        <w:r>
          <w:rPr>
            <w:rStyle w:val="Hyperlink"/>
          </w:rPr>
          <w:t xml:space="preserve">https://colorshexa.com/palette/tokyo-night-palette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#1a1b26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#e6e7ed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#24283b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#d5d6db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#2f344d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#c4c7d0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#414868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#989caf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#c0caf5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#343b58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#a9b1d6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#565a6e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#7aa2f7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#34548a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#6a91e6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#2a4471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#e0af68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#8f5e15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#9ece6a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#485e30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#f7768e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#8c4351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#e0af68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#8f5e15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#7dcfff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#2a6194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#bb9af7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#5a3e8e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rgba(0,0,0,0.12)</w:t>
            </w:r>
          </w:p>
        </w:tc>
      </w:tr>
    </w:tbl>
    <w:bookmarkEnd w:id="25"/>
    <w:bookmarkEnd w:id="26"/>
    <w:bookmarkStart w:id="27" w:name="css-variables"/>
    <w:p>
      <w:pPr>
        <w:pStyle w:val="Heading2"/>
      </w:pPr>
      <w:r>
        <w:t xml:space="preserve">CSS variables</w:t>
      </w:r>
    </w:p>
    <w:p>
      <w:pPr>
        <w:pStyle w:val="FirstParagraph"/>
      </w:pPr>
      <w:r>
        <w:t xml:space="preserve">The 15 tokens surface as CSS custom properties 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. SCSS and</w:t>
      </w:r>
      <w:r>
        <w:t xml:space="preserve"> </w:t>
      </w:r>
      <w:r>
        <w:t xml:space="preserve">component templates use these via</w:t>
      </w:r>
      <w:r>
        <w:t xml:space="preserve"> </w:t>
      </w:r>
      <w:r>
        <w:rPr>
          <w:rStyle w:val="VerbatimChar"/>
        </w:rPr>
        <w:t xml:space="preserve">var(--color-*)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 key</w:t>
            </w:r>
          </w:p>
        </w:tc>
        <w:tc>
          <w:tcPr/>
          <w:p>
            <w:pPr>
              <w:pStyle w:val="Compact"/>
            </w:pPr>
            <w:r>
              <w:t xml:space="preserve">CSS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--color-bg-primary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--color-bg-secondary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--color-bg-tertiary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--color-border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--color-text-primary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--color-text-secondary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--color-accent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--color-accent-hover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--color-contrast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--color-danger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--color-purple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--color-shadow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frontend/src/styles.scss</w:t>
      </w:r>
      <w:r>
        <w:t xml:space="preserve"> </w:t>
      </w:r>
      <w:r>
        <w:t xml:space="preserve">declares Darcula-dark fallbacks on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so the page is styled even before</w:t>
      </w:r>
      <w:r>
        <w:t xml:space="preserve"> </w:t>
      </w:r>
      <w:r>
        <w:rPr>
          <w:rStyle w:val="VerbatimChar"/>
        </w:rPr>
        <w:t xml:space="preserve">ThemeService</w:t>
      </w:r>
      <w:r>
        <w:t xml:space="preserve"> </w:t>
      </w:r>
      <w:r>
        <w:t xml:space="preserve">runs — no flash of</w:t>
      </w:r>
      <w:r>
        <w:t xml:space="preserve"> </w:t>
      </w:r>
      <w:r>
        <w:t xml:space="preserve">unstyled content (FOUC) on first paint.</w:t>
      </w:r>
    </w:p>
    <w:bookmarkEnd w:id="27"/>
    <w:bookmarkStart w:id="30" w:name="themeservice-api"/>
    <w:p>
      <w:pPr>
        <w:pStyle w:val="Heading2"/>
      </w:pPr>
      <w:r>
        <w:t xml:space="preserve">ThemeService API</w:t>
      </w:r>
    </w:p>
    <w:p>
      <w:pPr>
        <w:pStyle w:val="FirstParagraph"/>
      </w:pPr>
      <w:r>
        <w:t xml:space="preserve">Imported from</w:t>
      </w:r>
      <w:r>
        <w:t xml:space="preserve"> </w:t>
      </w:r>
      <w:r>
        <w:rPr>
          <w:rStyle w:val="VerbatimChar"/>
        </w:rPr>
        <w:t xml:space="preserve">frontend/src/app/services/theme.service.ts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palette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Signal&lt;Palette&gt;</w:t>
            </w:r>
          </w:p>
        </w:tc>
        <w:tc>
          <w:tcPr/>
          <w:p>
            <w:pPr>
              <w:pStyle w:val="Compact"/>
            </w:pPr>
            <w:r>
              <w:t xml:space="preserve">Current palette object (read-only).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Signal&lt;PaletteMode&gt;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'light'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'dark'</w:t>
            </w:r>
            <w:r>
              <w:t xml:space="preserve"> </w:t>
            </w:r>
            <w:r>
              <w:t xml:space="preserve">(read-only).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Signal&lt;PaletteTokens&gt;</w:t>
            </w:r>
          </w:p>
        </w:tc>
        <w:tc>
          <w:tcPr/>
          <w:p>
            <w:pPr>
              <w:pStyle w:val="Compact"/>
            </w:pPr>
            <w:r>
              <w:t xml:space="preserve">Active token set; switches with 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availablePalettes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 Palette[]</w:t>
            </w:r>
          </w:p>
        </w:tc>
        <w:tc>
          <w:tcPr/>
          <w:p>
            <w:pPr>
              <w:pStyle w:val="Compact"/>
            </w:pPr>
            <w:r>
              <w:t xml:space="preserve">Full catalogue.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paletteIds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 string[]</w:t>
            </w:r>
          </w:p>
        </w:tc>
        <w:tc>
          <w:tcPr/>
          <w:p>
            <w:pPr>
              <w:pStyle w:val="Compact"/>
            </w:pPr>
            <w:r>
              <w:t xml:space="preserve">Id list (convenience).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setPalette(id)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Switch to a palette. No-op for unknown ids.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setMode(mode)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Force light/dark. Marks the choice as sticky.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toggleMode()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Flip light ↔ dark.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isModeUserChosen()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user has explicitly chosen mode.</w:t>
            </w:r>
          </w:p>
        </w:tc>
      </w:tr>
    </w:tbl>
    <w:bookmarkStart w:id="28" w:name="storage-key"/>
    <w:p>
      <w:pPr>
        <w:pStyle w:val="Heading3"/>
      </w:pPr>
      <w:r>
        <w:t xml:space="preserve">Storage key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"qbit.theme"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"paletteId"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"darcula"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"modeIsUserChosen"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When the store is empty, the service defaults to</w:t>
      </w:r>
      <w:r>
        <w:t xml:space="preserve"> </w:t>
      </w:r>
      <w:r>
        <w:rPr>
          <w:rStyle w:val="VerbatimChar"/>
        </w:rPr>
        <w:t xml:space="preserve">DEFAULT_PALETTE_ID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"darcula"</w:t>
      </w:r>
      <w:r>
        <w:t xml:space="preserve">) and derives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window.matchMedia('(prefers-color-scheme: dark)')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When the stored id no longer exists in the catalogue, the service</w:t>
      </w:r>
      <w:r>
        <w:t xml:space="preserve"> </w:t>
      </w:r>
      <w:r>
        <w:t xml:space="preserve">falls back to the default AND writes the correction back to storage.</w:t>
      </w:r>
    </w:p>
    <w:p>
      <w:pPr>
        <w:pStyle w:val="Compact"/>
        <w:numPr>
          <w:ilvl w:val="0"/>
          <w:numId w:val="1001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modeIsUserChosen === false</w:t>
      </w:r>
      <w:r>
        <w:t xml:space="preserve">, the service listens to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changes and updates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to match. Once the</w:t>
      </w:r>
      <w:r>
        <w:t xml:space="preserve"> </w:t>
      </w:r>
      <w:r>
        <w:t xml:space="preserve">user picks a mode explicitly (</w:t>
      </w:r>
      <w:r>
        <w:rPr>
          <w:rStyle w:val="VerbatimChar"/>
        </w:rPr>
        <w:t xml:space="preserve">setMode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toggleMode</w:t>
      </w:r>
      <w:r>
        <w:t xml:space="preserve"> </w:t>
      </w:r>
      <w:r>
        <w:t xml:space="preserve">/ picker), the</w:t>
      </w:r>
      <w:r>
        <w:t xml:space="preserve"> </w:t>
      </w:r>
      <w:r>
        <w:t xml:space="preserve">choice becomes sticky.</w:t>
      </w:r>
    </w:p>
    <w:bookmarkEnd w:id="28"/>
    <w:bookmarkStart w:id="29" w:name="side-effects-per-change"/>
    <w:p>
      <w:pPr>
        <w:pStyle w:val="Heading3"/>
      </w:pPr>
      <w:r>
        <w:t xml:space="preserve">Side effects per change</w:t>
      </w:r>
    </w:p>
    <w:p>
      <w:pPr>
        <w:pStyle w:val="FirstParagraph"/>
      </w:pPr>
      <w:r>
        <w:t xml:space="preserve">On every</w:t>
      </w:r>
      <w:r>
        <w:t xml:space="preserve"> </w:t>
      </w:r>
      <w:r>
        <w:rPr>
          <w:rStyle w:val="VerbatimChar"/>
        </w:rPr>
        <w:t xml:space="preserve">setPalette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setMode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toggleMode</w:t>
      </w:r>
      <w:r>
        <w:t xml:space="preserve">, the service:</w:t>
      </w:r>
    </w:p>
    <w:p>
      <w:pPr>
        <w:pStyle w:val="Compact"/>
        <w:numPr>
          <w:ilvl w:val="0"/>
          <w:numId w:val="1002"/>
        </w:numPr>
      </w:pPr>
      <w:r>
        <w:t xml:space="preserve">Writes every one of the 15 tokens to</w:t>
      </w:r>
      <w:r>
        <w:t xml:space="preserve"> </w:t>
      </w:r>
      <w:r>
        <w:rPr>
          <w:rStyle w:val="VerbatimChar"/>
        </w:rPr>
        <w:t xml:space="preserve">document.documentElement.style.setProperty(--color-*, ...)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on the documentElement (for native UI controls).</w:t>
      </w:r>
    </w:p>
    <w:p>
      <w:pPr>
        <w:pStyle w:val="Compact"/>
        <w:numPr>
          <w:ilvl w:val="0"/>
          <w:numId w:val="1002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data-palette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data-mode</w:t>
      </w:r>
      <w:r>
        <w:t xml:space="preserve"> </w:t>
      </w:r>
      <w:r>
        <w:t xml:space="preserve">attributes 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Persists the full state to</w:t>
      </w:r>
      <w:r>
        <w:t xml:space="preserve"> </w:t>
      </w:r>
      <w:r>
        <w:rPr>
          <w:rStyle w:val="VerbatimChar"/>
        </w:rPr>
        <w:t xml:space="preserve">localStorage['qbit.theme']</w:t>
      </w:r>
      <w:r>
        <w:t xml:space="preserve">.</w:t>
      </w:r>
    </w:p>
    <w:p>
      <w:pPr>
        <w:pStyle w:val="FirstParagraph"/>
      </w:pPr>
      <w:r>
        <w:t xml:space="preserve">These are observable, which is how the tests verify behaviour without</w:t>
      </w:r>
      <w:r>
        <w:t xml:space="preserve"> </w:t>
      </w:r>
      <w:r>
        <w:t xml:space="preserve">false positives — see</w:t>
      </w:r>
      <w:r>
        <w:t xml:space="preserve"> </w:t>
      </w:r>
      <w:r>
        <w:rPr>
          <w:rStyle w:val="VerbatimChar"/>
        </w:rPr>
        <w:t xml:space="preserve">frontend/src/app/services/theme.service.spec.ts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tests/e2e/test_theme_runtime.py</w:t>
      </w:r>
      <w:r>
        <w:t xml:space="preserve">.</w:t>
      </w:r>
    </w:p>
    <w:bookmarkEnd w:id="29"/>
    <w:bookmarkEnd w:id="30"/>
    <w:bookmarkStart w:id="31" w:name="theme-picker-ui"/>
    <w:p>
      <w:pPr>
        <w:pStyle w:val="Heading2"/>
      </w:pPr>
      <w:r>
        <w:t xml:space="preserve">Theme picker UI</w:t>
      </w:r>
    </w:p>
    <w:p>
      <w:pPr>
        <w:pStyle w:val="FirstParagraph"/>
      </w:pPr>
      <w:r>
        <w:rPr>
          <w:rStyle w:val="VerbatimChar"/>
        </w:rPr>
        <w:t xml:space="preserve">frontend/src/app/components/theme-picker/</w:t>
      </w:r>
      <w:r>
        <w:t xml:space="preserve"> </w:t>
      </w:r>
      <w:r>
        <w:t xml:space="preserve">ships the corner widget</w:t>
      </w:r>
      <w:r>
        <w:t xml:space="preserve"> </w:t>
      </w:r>
      <w:r>
        <w:t xml:space="preserve">used in the dashboard header. It is a standalone Angular component; any</w:t>
      </w:r>
      <w:r>
        <w:t xml:space="preserve"> </w:t>
      </w:r>
      <w:r>
        <w:t xml:space="preserve">other app can drop</w:t>
      </w:r>
      <w:r>
        <w:t xml:space="preserve"> </w:t>
      </w:r>
      <w:r>
        <w:rPr>
          <w:rStyle w:val="VerbatimChar"/>
        </w:rPr>
        <w:t xml:space="preserve">&lt;app-theme-picker&gt;</w:t>
      </w:r>
      <w:r>
        <w:t xml:space="preserve"> </w:t>
      </w:r>
      <w:r>
        <w:t xml:space="preserve">into its template. The picker</w:t>
      </w:r>
      <w:r>
        <w:t xml:space="preserve"> </w:t>
      </w:r>
      <w:r>
        <w:t xml:space="preserve">renders:</w:t>
      </w:r>
    </w:p>
    <w:p>
      <w:pPr>
        <w:pStyle w:val="Compact"/>
        <w:numPr>
          <w:ilvl w:val="0"/>
          <w:numId w:val="1003"/>
        </w:numPr>
      </w:pPr>
      <w:r>
        <w:t xml:space="preserve">a light/dark mode toggle button,</w:t>
      </w:r>
    </w:p>
    <w:p>
      <w:pPr>
        <w:pStyle w:val="Compact"/>
        <w:numPr>
          <w:ilvl w:val="0"/>
          <w:numId w:val="1003"/>
        </w:numPr>
      </w:pPr>
      <w:r>
        <w:t xml:space="preserve">a dropdown listing every palette,</w:t>
      </w:r>
    </w:p>
    <w:p>
      <w:pPr>
        <w:pStyle w:val="Compact"/>
        <w:numPr>
          <w:ilvl w:val="0"/>
          <w:numId w:val="1003"/>
        </w:numPr>
      </w:pPr>
      <w:r>
        <w:t xml:space="preserve">four colour swatches per palette (accent, contrast, bg, text),</w:t>
      </w:r>
    </w:p>
    <w:p>
      <w:pPr>
        <w:pStyle w:val="Compact"/>
        <w:numPr>
          <w:ilvl w:val="0"/>
          <w:numId w:val="1003"/>
        </w:numPr>
      </w:pPr>
      <w:r>
        <w:t xml:space="preserve">an active-state marker (</w:t>
      </w:r>
      <w:r>
        <w:rPr>
          <w:rStyle w:val="VerbatimChar"/>
        </w:rPr>
        <w:t xml:space="preserve">.active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aria-checked="true"</w:t>
      </w:r>
      <w:r>
        <w:t xml:space="preserve">) on the</w:t>
      </w:r>
      <w:r>
        <w:t xml:space="preserve"> </w:t>
      </w:r>
      <w:r>
        <w:t xml:space="preserve">current palette.</w:t>
      </w:r>
    </w:p>
    <w:bookmarkEnd w:id="31"/>
    <w:bookmarkStart w:id="32" w:name="adding-a-new-palette"/>
    <w:p>
      <w:pPr>
        <w:pStyle w:val="Heading2"/>
      </w:pPr>
      <w:r>
        <w:t xml:space="preserve">Adding a new palette</w:t>
      </w:r>
    </w:p>
    <w:p>
      <w:pPr>
        <w:numPr>
          <w:ilvl w:val="0"/>
          <w:numId w:val="1004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frontend/src/app/models/palette.model.ts</w:t>
      </w:r>
      <w:r>
        <w:t xml:space="preserve"> </w:t>
      </w:r>
      <w:r>
        <w:t xml:space="preserve">and add an entry to</w:t>
      </w:r>
      <w:r>
        <w:t xml:space="preserve"> </w:t>
      </w:r>
      <w:r>
        <w:rPr>
          <w:rStyle w:val="VerbatimChar"/>
        </w:rPr>
        <w:t xml:space="preserve">PALETTES</w:t>
      </w:r>
      <w:r>
        <w:t xml:space="preserve">. Provide both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variants with every one</w:t>
      </w:r>
      <w:r>
        <w:t xml:space="preserve"> </w:t>
      </w:r>
      <w:r>
        <w:t xml:space="preserve">of the 15 tokens.</w:t>
      </w:r>
    </w:p>
    <w:p>
      <w:pPr>
        <w:numPr>
          <w:ilvl w:val="0"/>
          <w:numId w:val="1004"/>
        </w:numPr>
      </w:pPr>
      <w:r>
        <w:t xml:space="preserve">Make sure each token is a valid CSS colour (</w:t>
      </w:r>
      <w:r>
        <w:rPr>
          <w:rStyle w:val="VerbatimChar"/>
        </w:rPr>
        <w:t xml:space="preserve">#RRGGBB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rgba(r, g, b, a)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Run the catalogue parametric validator: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tests/unit/test_palette_catalog.py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--no-cov</w:t>
      </w:r>
    </w:p>
    <w:p>
      <w:pPr>
        <w:numPr>
          <w:ilvl w:val="0"/>
          <w:numId w:val="1004"/>
        </w:numPr>
      </w:pPr>
      <w:r>
        <w:t xml:space="preserve">Run the wiring guard + frontend specs: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tests/unit/test_theme_wiring.py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--no-cov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frontend ng test </w:t>
      </w:r>
      <w:r>
        <w:rPr>
          <w:rStyle w:val="AttributeTok"/>
        </w:rPr>
        <w:t xml:space="preserve">--watch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pPr>
        <w:numPr>
          <w:ilvl w:val="0"/>
          <w:numId w:val="1004"/>
        </w:numPr>
      </w:pPr>
      <w:r>
        <w:t xml:space="preserve">Rebuild and restart the merge service (see</w:t>
      </w:r>
      <w:r>
        <w:t xml:space="preserve"> </w:t>
      </w:r>
      <w:r>
        <w:t xml:space="preserve">CLAUDE.md’s</w:t>
      </w:r>
      <w:r>
        <w:t xml:space="preserve"> </w:t>
      </w:r>
      <w:r>
        <w:rPr>
          <w:b/>
          <w:bCs/>
        </w:rPr>
        <w:t xml:space="preserve">REBUILD AND REBOOT</w:t>
      </w:r>
      <w:r>
        <w:t xml:space="preserve"> </w:t>
      </w:r>
      <w:r>
        <w:t xml:space="preserve">constraint). If Playwright is</w:t>
      </w:r>
      <w:r>
        <w:t xml:space="preserve"> </w:t>
      </w:r>
      <w:r>
        <w:t xml:space="preserve">installed, 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tests/e2e/test_theme_runtime.py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--no-cov</w:t>
      </w:r>
    </w:p>
    <w:p>
      <w:pPr>
        <w:pStyle w:val="FirstParagraph"/>
      </w:pPr>
      <w:r>
        <w:t xml:space="preserve">The e2e test will loudly fail (not skip) when the served bundle does</w:t>
      </w:r>
      <w:r>
        <w:t xml:space="preserve"> </w:t>
      </w:r>
      <w:r>
        <w:t xml:space="preserve">not include the new palette, which is the project’s</w:t>
      </w:r>
      <w:r>
        <w:t xml:space="preserve"> </w:t>
      </w:r>
      <w:r>
        <w:t xml:space="preserve">“no false</w:t>
      </w:r>
      <w:r>
        <w:t xml:space="preserve"> </w:t>
      </w:r>
      <w:r>
        <w:t xml:space="preserve">positives”</w:t>
      </w:r>
      <w:r>
        <w:t xml:space="preserve"> </w:t>
      </w:r>
      <w:r>
        <w:t xml:space="preserve">guarantee.</w:t>
      </w:r>
    </w:p>
    <w:bookmarkEnd w:id="32"/>
    <w:bookmarkStart w:id="33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frontend/src/app/models/palette.model.ts</w:t>
      </w:r>
      <w:r>
        <w:t xml:space="preserve"> </w:t>
      </w:r>
      <w:r>
        <w:t xml:space="preserve">— catalogue + types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frontend/src/app/services/theme.service.ts</w:t>
      </w:r>
      <w:r>
        <w:t xml:space="preserve"> </w:t>
      </w:r>
      <w:r>
        <w:t xml:space="preserve">— runtime controller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frontend/src/app/components/theme-picker/</w:t>
      </w:r>
      <w:r>
        <w:t xml:space="preserve"> </w:t>
      </w:r>
      <w:r>
        <w:t xml:space="preserve">— picker component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frontend/src/styles.scss</w:t>
      </w:r>
      <w:r>
        <w:t xml:space="preserve"> </w:t>
      </w:r>
      <w:r>
        <w:t xml:space="preserve">— global CSS variable fallbacks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frontend/src/app/components/dashboard/dashboard.component.scss</w:t>
      </w:r>
      <w:r>
        <w:t xml:space="preserve"> </w:t>
      </w:r>
      <w:r>
        <w:t xml:space="preserve">—</w:t>
      </w:r>
      <w:r>
        <w:t xml:space="preserve"> </w:t>
      </w:r>
      <w:r>
        <w:t xml:space="preserve">dashboard stylesheet using</w:t>
      </w:r>
      <w:r>
        <w:t xml:space="preserve"> </w:t>
      </w:r>
      <w:r>
        <w:rPr>
          <w:rStyle w:val="VerbatimChar"/>
        </w:rPr>
        <w:t xml:space="preserve">var(--color-*)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frontend/src/app/components/tracker-stat-dialog/tracker-stat-dialog.component.scss</w:t>
      </w:r>
      <w:r>
        <w:t xml:space="preserve"> </w:t>
      </w:r>
      <w:r>
        <w:t xml:space="preserve">— dialog stylesheet using</w:t>
      </w:r>
      <w:r>
        <w:t xml:space="preserve"> </w:t>
      </w:r>
      <w:r>
        <w:rPr>
          <w:rStyle w:val="VerbatimChar"/>
        </w:rPr>
        <w:t xml:space="preserve">var(--color-*)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tests/unit/test_palette_catalog.py</w:t>
      </w:r>
      <w:r>
        <w:t xml:space="preserve"> </w:t>
      </w:r>
      <w:r>
        <w:t xml:space="preserve">— parametric catalogue validator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tests/unit/test_theme_wiring.py</w:t>
      </w:r>
      <w:r>
        <w:t xml:space="preserve"> </w:t>
      </w:r>
      <w:r>
        <w:t xml:space="preserve">— wiring integration guard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tests/e2e/test_theme_runtime.py</w:t>
      </w:r>
      <w:r>
        <w:t xml:space="preserve"> </w:t>
      </w:r>
      <w:r>
        <w:t xml:space="preserve">— Playwright runtime verification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colorshexa.com/palette/darcula-palette" TargetMode="External" /><Relationship Type="http://schemas.openxmlformats.org/officeDocument/2006/relationships/hyperlink" Id="rId20" Target="https://colorshexa.com/palette/gruvbox-palette" TargetMode="External" /><Relationship Type="http://schemas.openxmlformats.org/officeDocument/2006/relationships/hyperlink" Id="rId18" Target="https://colorshexa.com/palette/monokai-palette" TargetMode="External" /><Relationship Type="http://schemas.openxmlformats.org/officeDocument/2006/relationships/hyperlink" Id="rId16" Target="https://colorshexa.com/palette/nord-palette" TargetMode="External" /><Relationship Type="http://schemas.openxmlformats.org/officeDocument/2006/relationships/hyperlink" Id="rId22" Target="https://colorshexa.com/palette/one-dark-palette" TargetMode="External" /><Relationship Type="http://schemas.openxmlformats.org/officeDocument/2006/relationships/hyperlink" Id="rId14" Target="https://colorshexa.com/palette/solarized-palette" TargetMode="External" /><Relationship Type="http://schemas.openxmlformats.org/officeDocument/2006/relationships/hyperlink" Id="rId24" Target="https://colorshexa.com/palette/tokyo-night-palette" TargetMode="External" /><Relationship Type="http://schemas.openxmlformats.org/officeDocument/2006/relationships/hyperlink" Id="rId12" Target="https://draculatheme.com/contribu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colorshexa.com/palette/darcula-palette" TargetMode="External" /><Relationship Type="http://schemas.openxmlformats.org/officeDocument/2006/relationships/hyperlink" Id="rId20" Target="https://colorshexa.com/palette/gruvbox-palette" TargetMode="External" /><Relationship Type="http://schemas.openxmlformats.org/officeDocument/2006/relationships/hyperlink" Id="rId18" Target="https://colorshexa.com/palette/monokai-palette" TargetMode="External" /><Relationship Type="http://schemas.openxmlformats.org/officeDocument/2006/relationships/hyperlink" Id="rId16" Target="https://colorshexa.com/palette/nord-palette" TargetMode="External" /><Relationship Type="http://schemas.openxmlformats.org/officeDocument/2006/relationships/hyperlink" Id="rId22" Target="https://colorshexa.com/palette/one-dark-palette" TargetMode="External" /><Relationship Type="http://schemas.openxmlformats.org/officeDocument/2006/relationships/hyperlink" Id="rId14" Target="https://colorshexa.com/palette/solarized-palette" TargetMode="External" /><Relationship Type="http://schemas.openxmlformats.org/officeDocument/2006/relationships/hyperlink" Id="rId24" Target="https://colorshexa.com/palette/tokyo-night-palette" TargetMode="External" /><Relationship Type="http://schemas.openxmlformats.org/officeDocument/2006/relationships/hyperlink" Id="rId12" Target="https://draculatheme.com/contribu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2026-09-01T16:27:22Z</dcterms:created>
  <dcterms:modified xsi:type="dcterms:W3CDTF">2026-09-01T16:27:22Z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