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migration-summary"/>
    <w:p>
      <w:pPr>
        <w:pStyle w:val="Heading1"/>
      </w:pPr>
      <w:r>
        <w:t xml:space="preserve">Migration Summary</w:t>
      </w:r>
    </w:p>
    <w:p>
      <w:pPr>
        <w:pStyle w:val="FirstParagraph"/>
      </w:pPr>
      <w:r>
        <w:t xml:space="preserve">Python-to-Go migration blueprint and parity tracking.</w:t>
      </w:r>
    </w:p>
    <w:bookmarkStart w:id="9" w:name="contents"/>
    <w:p>
      <w:pPr>
        <w:pStyle w:val="Heading2"/>
      </w:pPr>
      <w:r>
        <w:t xml:space="preserve">Contents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Migration_Python_Codebase_To_Go.md</w:t>
      </w:r>
      <w:r>
        <w:t xml:space="preserve"> </w:t>
      </w:r>
      <w:r>
        <w:t xml:space="preserve">— Comprehensive 1342-line blueprint for migrating the Python/FastAPI backend to Go/Gin, covering:</w:t>
      </w:r>
    </w:p>
    <w:p>
      <w:pPr>
        <w:pStyle w:val="Compact"/>
        <w:numPr>
          <w:ilvl w:val="1"/>
          <w:numId w:val="1002"/>
        </w:numPr>
      </w:pPr>
      <w:r>
        <w:t xml:space="preserve">Project structure and data models</w:t>
      </w:r>
    </w:p>
    <w:p>
      <w:pPr>
        <w:pStyle w:val="Compact"/>
        <w:numPr>
          <w:ilvl w:val="1"/>
          <w:numId w:val="1002"/>
        </w:numPr>
      </w:pPr>
      <w:r>
        <w:t xml:space="preserve">Config management and env loading</w:t>
      </w:r>
    </w:p>
    <w:p>
      <w:pPr>
        <w:pStyle w:val="Compact"/>
        <w:numPr>
          <w:ilvl w:val="1"/>
          <w:numId w:val="1002"/>
        </w:numPr>
      </w:pPr>
      <w:r>
        <w:t xml:space="preserve">qBittorrent Web API client</w:t>
      </w:r>
    </w:p>
    <w:p>
      <w:pPr>
        <w:pStyle w:val="Compact"/>
        <w:numPr>
          <w:ilvl w:val="1"/>
          <w:numId w:val="1002"/>
        </w:numPr>
      </w:pPr>
      <w:r>
        <w:t xml:space="preserve">Phased implementation plan with feature parity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PARITY_GAPS.md</w:t>
      </w:r>
      <w:r>
        <w:t xml:space="preserve"> </w:t>
      </w:r>
      <w:r>
        <w:t xml:space="preserve">— Side-by-side audit of Python vs. Go surface area, tracking: Ported, Partial, Missing, Not-Applicable</w:t>
      </w:r>
    </w:p>
    <w:bookmarkEnd w:id="9"/>
    <w:bookmarkStart w:id="10" w:name="status"/>
    <w:p>
      <w:pPr>
        <w:pStyle w:val="Heading2"/>
      </w:pPr>
      <w:r>
        <w:t xml:space="preserve">Status</w:t>
      </w:r>
    </w:p>
    <w:p>
      <w:pPr>
        <w:pStyle w:val="Compact"/>
        <w:numPr>
          <w:ilvl w:val="0"/>
          <w:numId w:val="1003"/>
        </w:numPr>
      </w:pPr>
      <w:r>
        <w:t xml:space="preserve">Domain: Migration</w:t>
      </w:r>
    </w:p>
    <w:p>
      <w:pPr>
        <w:pStyle w:val="Compact"/>
        <w:numPr>
          <w:ilvl w:val="0"/>
          <w:numId w:val="1003"/>
        </w:numPr>
      </w:pPr>
      <w:r>
        <w:t xml:space="preserve">Docs count: 2</w:t>
      </w:r>
    </w:p>
    <w:p>
      <w:pPr>
        <w:pStyle w:val="Compact"/>
        <w:numPr>
          <w:ilvl w:val="0"/>
          <w:numId w:val="1003"/>
        </w:numPr>
      </w:pPr>
      <w:r>
        <w:t xml:space="preserve">Migration phase:</w:t>
      </w:r>
      <w:r>
        <w:t xml:space="preserve"> </w:t>
      </w:r>
      <w:r>
        <w:rPr>
          <w:b/>
          <w:bCs/>
        </w:rPr>
        <w:t xml:space="preserve">Blueprint complete, implementation ongoing</w:t>
      </w:r>
    </w:p>
    <w:p>
      <w:pPr>
        <w:pStyle w:val="Compact"/>
        <w:numPr>
          <w:ilvl w:val="0"/>
          <w:numId w:val="1003"/>
        </w:numPr>
      </w:pPr>
      <w:r>
        <w:t xml:space="preserve">Go backend status: Skeleton/rewrite-in-progress — replicates API surface but lacks plugin ecosystem, dedup, enrichment, download proxying, scheduler, and private-tracker auth</w:t>
      </w:r>
    </w:p>
    <w:p>
      <w:pPr>
        <w:pStyle w:val="Compact"/>
        <w:numPr>
          <w:ilvl w:val="0"/>
          <w:numId w:val="1003"/>
        </w:numPr>
      </w:pPr>
      <w:r>
        <w:t xml:space="preserve">Last reviewed: 2026-06-08</w:t>
      </w:r>
    </w:p>
    <w:bookmarkEnd w:id="10"/>
    <w:bookmarkStart w:id="11" w:name="parity-summary"/>
    <w:p>
      <w:pPr>
        <w:pStyle w:val="Heading2"/>
      </w:pPr>
      <w:r>
        <w:t xml:space="preserve">Parity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2534"/>
        <w:gridCol w:w="1267"/>
        <w:gridCol w:w="2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API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  <w:tc>
          <w:tcPr/>
          <w:p>
            <w:pPr>
              <w:pStyle w:val="Compact"/>
            </w:pPr>
            <w:r>
              <w:t xml:space="preserve">✅ Basic</w:t>
            </w:r>
          </w:p>
        </w:tc>
        <w:tc>
          <w:tcPr/>
          <w:p>
            <w:pPr>
              <w:pStyle w:val="Compact"/>
            </w:pPr>
            <w:r>
              <w:t xml:space="preserve">Go proxies to qBittorrent’s built-in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Deduplication</w:t>
            </w:r>
          </w:p>
        </w:tc>
        <w:tc>
          <w:tcPr/>
          <w:p>
            <w:pPr>
              <w:pStyle w:val="Compact"/>
            </w:pPr>
            <w:r>
              <w:t xml:space="preserve">✅ Tiered + Levenshtein</w:t>
            </w:r>
          </w:p>
        </w:tc>
        <w:tc>
          <w:tcPr/>
          <w:p>
            <w:pPr>
              <w:pStyle w:val="Compact"/>
            </w:pPr>
            <w:r>
              <w:t xml:space="preserve">❌ Missing</w:t>
            </w:r>
          </w:p>
        </w:tc>
        <w:tc>
          <w:tcPr/>
          <w:p>
            <w:pPr>
              <w:pStyle w:val="Compact"/>
            </w:pPr>
            <w:r>
              <w:t xml:space="preserve">Core merge service 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Enrichment</w:t>
            </w:r>
          </w:p>
        </w:tc>
        <w:tc>
          <w:tcPr/>
          <w:p>
            <w:pPr>
              <w:pStyle w:val="Compact"/>
            </w:pPr>
            <w:r>
              <w:t xml:space="preserve">✅ TMDB/OMDb/TVMaze/AniList</w:t>
            </w:r>
          </w:p>
        </w:tc>
        <w:tc>
          <w:tcPr/>
          <w:p>
            <w:pPr>
              <w:pStyle w:val="Compact"/>
            </w:pPr>
            <w:r>
              <w:t xml:space="preserve">❌ Missing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Download proxy</w:t>
            </w:r>
          </w:p>
        </w:tc>
        <w:tc>
          <w:tcPr/>
          <w:p>
            <w:pPr>
              <w:pStyle w:val="Compact"/>
            </w:pPr>
            <w:r>
              <w:t xml:space="preserve">✅ Full (7186)</w:t>
            </w:r>
          </w:p>
        </w:tc>
        <w:tc>
          <w:tcPr/>
          <w:p>
            <w:pPr>
              <w:pStyle w:val="Compact"/>
            </w:pPr>
            <w:r>
              <w:t xml:space="preserve">❌ Missing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Private-tracker auth</w:t>
            </w:r>
          </w:p>
        </w:tc>
        <w:tc>
          <w:tcPr/>
          <w:p>
            <w:pPr>
              <w:pStyle w:val="Compact"/>
            </w:pPr>
            <w:r>
              <w:t xml:space="preserve">✅ RuTracker/Kinozal/NNMClub/IPT</w:t>
            </w:r>
          </w:p>
        </w:tc>
        <w:tc>
          <w:tcPr/>
          <w:p>
            <w:pPr>
              <w:pStyle w:val="Compact"/>
            </w:pPr>
            <w:r>
              <w:t xml:space="preserve">❌ Missing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WebUI bridge</w:t>
            </w:r>
          </w:p>
        </w:tc>
        <w:tc>
          <w:tcPr/>
          <w:p>
            <w:pPr>
              <w:pStyle w:val="Compact"/>
            </w:pPr>
            <w:r>
              <w:t xml:space="preserve">✅ Full (7188)</w:t>
            </w:r>
          </w:p>
        </w:tc>
        <w:tc>
          <w:tcPr/>
          <w:p>
            <w:pPr>
              <w:pStyle w:val="Compact"/>
            </w:pPr>
            <w:r>
              <w:t xml:space="preserve">⚠️ Skeleton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SSE streaming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  <w:tc>
          <w:tcPr/>
          <w:p>
            <w:pPr>
              <w:pStyle w:val="Compact"/>
            </w:pPr>
            <w:r>
              <w:t xml:space="preserve">❌ Missing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Scheduler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  <w:tc>
          <w:tcPr/>
          <w:p>
            <w:pPr>
              <w:pStyle w:val="Compact"/>
            </w:pPr>
            <w:r>
              <w:t xml:space="preserve">❌ Missing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Theme injection</w:t>
            </w:r>
          </w:p>
        </w:tc>
        <w:tc>
          <w:tcPr/>
          <w:p>
            <w:pPr>
              <w:pStyle w:val="Compact"/>
            </w:pPr>
            <w:r>
              <w:t xml:space="preserve">✅ Cross-app</w:t>
            </w:r>
          </w:p>
        </w:tc>
        <w:tc>
          <w:tcPr/>
          <w:p>
            <w:pPr>
              <w:pStyle w:val="Compact"/>
            </w:pPr>
            <w:r>
              <w:t xml:space="preserve">❌ Missing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11"/>
    <w:bookmarkStart w:id="14" w:name="related"/>
    <w:p>
      <w:pPr>
        <w:pStyle w:val="Heading2"/>
      </w:pPr>
      <w:r>
        <w:t xml:space="preserve">Related</w:t>
      </w:r>
    </w:p>
    <w:p>
      <w:pPr>
        <w:pStyle w:val="Compact"/>
        <w:numPr>
          <w:ilvl w:val="0"/>
          <w:numId w:val="1004"/>
        </w:numPr>
      </w:pPr>
      <w:hyperlink r:id="rId12">
        <w:r>
          <w:rPr>
            <w:rStyle w:val="Hyperlink"/>
          </w:rPr>
          <w:t xml:space="preserve">Architecture Summary</w:t>
        </w:r>
      </w:hyperlink>
      <w:r>
        <w:t xml:space="preserve"> </w:t>
      </w:r>
      <w:r>
        <w:t xml:space="preserve">— current system topology</w:t>
      </w:r>
    </w:p>
    <w:p>
      <w:pPr>
        <w:pStyle w:val="Compact"/>
        <w:numPr>
          <w:ilvl w:val="0"/>
          <w:numId w:val="1004"/>
        </w:numPr>
      </w:pPr>
      <w:hyperlink r:id="rId13">
        <w:r>
          <w:rPr>
            <w:rStyle w:val="Hyperlink"/>
          </w:rPr>
          <w:t xml:space="preserve">PARITY_GAPS.md</w:t>
        </w:r>
      </w:hyperlink>
      <w:r>
        <w:t xml:space="preserve"> </w:t>
      </w:r>
      <w:r>
        <w:t xml:space="preserve">— detailed parity audit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rchitecture_Summary.md" TargetMode="External" /><Relationship Type="http://schemas.openxmlformats.org/officeDocument/2006/relationships/hyperlink" Id="rId13" Target="migration/PARITY_GAP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rchitecture_Summary.md" TargetMode="External" /><Relationship Type="http://schemas.openxmlformats.org/officeDocument/2006/relationships/hyperlink" Id="rId13" Target="migration/PARITY_GAP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2026-09-01T16:27:10Z</dcterms:created>
  <dcterms:modified xsi:type="dcterms:W3CDTF">2026-09-01T16:27:10Z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