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docs-project-documentation-index"/>
    <w:p>
      <w:pPr>
        <w:pStyle w:val="Heading1"/>
      </w:pPr>
      <w:r>
        <w:t xml:space="preserve">docs/ — Project Documentation Index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odyText"/>
      </w:pPr>
      <w:r>
        <w:t xml:space="preserve">This directory is the written source of truth for the qBittorrent-Fixed</w:t>
      </w:r>
      <w:r>
        <w:t xml:space="preserve"> </w:t>
      </w:r>
      <w:r>
        <w:t xml:space="preserve">project. Each file below is either end-user facing, operator-facing, or</w:t>
      </w:r>
      <w:r>
        <w:t xml:space="preserve"> </w:t>
      </w:r>
      <w:r>
        <w:t xml:space="preserve">contributor-facing. When a topic appears both here and in the top-level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this directory is authoritative.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Compact"/>
        <w:numPr>
          <w:ilvl w:val="0"/>
          <w:numId w:val="1001"/>
        </w:numPr>
      </w:pPr>
      <w:r>
        <w:t xml:space="preserve">Collect every cross-cutting design note, runbook, and subsystem manual.</w:t>
      </w:r>
    </w:p>
    <w:p>
      <w:pPr>
        <w:pStyle w:val="Compact"/>
        <w:numPr>
          <w:ilvl w:val="0"/>
          <w:numId w:val="1001"/>
        </w:numPr>
      </w:pPr>
      <w:r>
        <w:t xml:space="preserve">Keep the top-level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short (one-page overview + quickstart).</w:t>
      </w:r>
    </w:p>
    <w:p>
      <w:pPr>
        <w:pStyle w:val="Compact"/>
        <w:numPr>
          <w:ilvl w:val="0"/>
          <w:numId w:val="1001"/>
        </w:numPr>
      </w:pPr>
      <w:r>
        <w:t xml:space="preserve">Feed the MkDocs Material site planned under Phase 8 of the</w:t>
      </w:r>
      <w:r>
        <w:t xml:space="preserve"> </w:t>
      </w:r>
      <w:r>
        <w:t xml:space="preserve">completion-initiative plan (</w:t>
      </w:r>
      <w:r>
        <w:rPr>
          <w:rStyle w:val="VerbatimChar"/>
        </w:rPr>
        <w:t xml:space="preserve">docs/superpowers/plans/</w:t>
      </w:r>
      <w:r>
        <w:t xml:space="preserve">).</w:t>
      </w:r>
    </w:p>
    <w:bookmarkEnd w:id="9"/>
    <w:bookmarkStart w:id="10" w:name="how-to-add-a-new-doc"/>
    <w:p>
      <w:pPr>
        <w:pStyle w:val="Heading2"/>
      </w:pPr>
      <w:r>
        <w:t xml:space="preserve">How to add a new doc</w:t>
      </w:r>
    </w:p>
    <w:p>
      <w:pPr>
        <w:pStyle w:val="Compact"/>
        <w:numPr>
          <w:ilvl w:val="0"/>
          <w:numId w:val="1002"/>
        </w:numPr>
      </w:pPr>
      <w:r>
        <w:t xml:space="preserve">Drop a</w:t>
      </w:r>
      <w:r>
        <w:t xml:space="preserve"> </w:t>
      </w:r>
      <w:r>
        <w:rPr>
          <w:rStyle w:val="VerbatimChar"/>
        </w:rPr>
        <w:t xml:space="preserve">*.md</w:t>
      </w:r>
      <w:r>
        <w:t xml:space="preserve"> </w:t>
      </w:r>
      <w:r>
        <w:t xml:space="preserve">file here (no subdirectories except the existing ones).</w:t>
      </w:r>
    </w:p>
    <w:p>
      <w:pPr>
        <w:pStyle w:val="Compact"/>
        <w:numPr>
          <w:ilvl w:val="0"/>
          <w:numId w:val="1002"/>
        </w:numPr>
      </w:pPr>
      <w:r>
        <w:t xml:space="preserve">Add a one-line entry to the table below.</w:t>
      </w:r>
    </w:p>
    <w:p>
      <w:pPr>
        <w:pStyle w:val="Compact"/>
        <w:numPr>
          <w:ilvl w:val="0"/>
          <w:numId w:val="1002"/>
        </w:numPr>
      </w:pPr>
      <w:r>
        <w:t xml:space="preserve">Reference the file from the appropriate top-level doc (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 so it is actually discoverable.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tests/unit/test_docs_presence.py</w:t>
      </w:r>
      <w:r>
        <w:t xml:space="preserve"> </w:t>
      </w:r>
      <w:r>
        <w:t xml:space="preserve">guards that a fixed set of subsystem</w:t>
      </w:r>
      <w:r>
        <w:t xml:space="preserve"> </w:t>
      </w:r>
      <w:r>
        <w:t xml:space="preserve">docs exists — extend the guard when a new canonical subsystem doc</w:t>
      </w:r>
      <w:r>
        <w:t xml:space="preserve"> </w:t>
      </w:r>
      <w:r>
        <w:t xml:space="preserve">appears.</w:t>
      </w:r>
    </w:p>
    <w:bookmarkEnd w:id="10"/>
    <w:bookmarkStart w:id="11" w:name="files-in-this-directory"/>
    <w:p>
      <w:pPr>
        <w:pStyle w:val="Heading2"/>
      </w:pPr>
      <w:r>
        <w:t xml:space="preserve">Files in this directory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USER_MANUAL.md</w:t>
            </w:r>
          </w:p>
        </w:tc>
        <w:tc>
          <w:tcPr/>
          <w:p>
            <w:pPr>
              <w:pStyle w:val="Compact"/>
            </w:pPr>
            <w:r>
              <w:t xml:space="preserve">End users</w:t>
            </w:r>
          </w:p>
        </w:tc>
        <w:tc>
          <w:tcPr/>
          <w:p>
            <w:pPr>
              <w:pStyle w:val="Compact"/>
            </w:pPr>
            <w:r>
              <w:t xml:space="preserve">Day-to-day usage, WebUI, download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MAGNET_LINKS.md</w:t>
            </w:r>
          </w:p>
        </w:tc>
        <w:tc>
          <w:tcPr/>
          <w:p>
            <w:pPr>
              <w:pStyle w:val="Compact"/>
            </w:pPr>
            <w:r>
              <w:t xml:space="preserve">End users</w:t>
            </w:r>
          </w:p>
        </w:tc>
        <w:tc>
          <w:tcPr/>
          <w:p>
            <w:pPr>
              <w:pStyle w:val="Compact"/>
            </w:pPr>
            <w:r>
              <w:t xml:space="preserve">How magnet links are generated and handled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PLUGINS.md</w:t>
            </w:r>
          </w:p>
        </w:tc>
        <w:tc>
          <w:tcPr/>
          <w:p>
            <w:pPr>
              <w:pStyle w:val="Compact"/>
            </w:pPr>
            <w:r>
              <w:t xml:space="preserve">Operators</w:t>
            </w:r>
          </w:p>
        </w:tc>
        <w:tc>
          <w:tcPr/>
          <w:p>
            <w:pPr>
              <w:pStyle w:val="Compact"/>
            </w:pPr>
            <w:r>
              <w:t xml:space="preserve">Canonical 12-plugin roster, how to install/remove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PLUGIN_TROUBLESHOOTING.md</w:t>
            </w:r>
          </w:p>
        </w:tc>
        <w:tc>
          <w:tcPr/>
          <w:p>
            <w:pPr>
              <w:pStyle w:val="Compact"/>
            </w:pPr>
            <w:r>
              <w:t xml:space="preserve">Operators</w:t>
            </w:r>
          </w:p>
        </w:tc>
        <w:tc>
          <w:tcPr/>
          <w:p>
            <w:pPr>
              <w:pStyle w:val="Compact"/>
            </w:pPr>
            <w:r>
              <w:t xml:space="preserve">Common plugin failure modes and fixes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DOWNLOAD_FIX.md</w:t>
            </w:r>
          </w:p>
        </w:tc>
        <w:tc>
          <w:tcPr/>
          <w:p>
            <w:pPr>
              <w:pStyle w:val="Compact"/>
            </w:pPr>
            <w:r>
              <w:t xml:space="preserve">Operators</w:t>
            </w:r>
          </w:p>
        </w:tc>
        <w:tc>
          <w:tcPr/>
          <w:p>
            <w:pPr>
              <w:pStyle w:val="Compact"/>
            </w:pPr>
            <w:r>
              <w:t xml:space="preserve">Known-good recovery procedure for broken downloads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RELEASE_TORRENT_UPLOAD_FIX.md</w:t>
            </w:r>
          </w:p>
        </w:tc>
        <w:tc>
          <w:tcPr/>
          <w:p>
            <w:pPr>
              <w:pStyle w:val="Compact"/>
            </w:pPr>
            <w:r>
              <w:t xml:space="preserve">Operators</w:t>
            </w:r>
          </w:p>
        </w:tc>
        <w:tc>
          <w:tcPr/>
          <w:p>
            <w:pPr>
              <w:pStyle w:val="Compact"/>
            </w:pPr>
            <w:r>
              <w:t xml:space="preserve">Fix for the upload-release edge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TEST_RESULTS.md</w:t>
            </w:r>
          </w:p>
        </w:tc>
        <w:tc>
          <w:tcPr/>
          <w:p>
            <w:pPr>
              <w:pStyle w:val="Compact"/>
            </w:pPr>
            <w:r>
              <w:t xml:space="preserve">Operators</w:t>
            </w:r>
          </w:p>
        </w:tc>
        <w:tc>
          <w:tcPr/>
          <w:p>
            <w:pPr>
              <w:pStyle w:val="Compact"/>
            </w:pPr>
            <w:r>
              <w:t xml:space="preserve">Snapshot of last full test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TESTING.md</w:t>
            </w:r>
          </w:p>
        </w:tc>
        <w:tc>
          <w:tcPr/>
          <w:p>
            <w:pPr>
              <w:pStyle w:val="Compact"/>
            </w:pPr>
            <w:r>
              <w:t xml:space="preserve">Contributors</w:t>
            </w:r>
          </w:p>
        </w:tc>
        <w:tc>
          <w:tcPr/>
          <w:p>
            <w:pPr>
              <w:pStyle w:val="Compact"/>
            </w:pPr>
            <w:r>
              <w:t xml:space="preserve">Authoritative test-type catalogue + how to add a new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SECURITY.md</w:t>
            </w:r>
          </w:p>
        </w:tc>
        <w:tc>
          <w:tcPr/>
          <w:p>
            <w:pPr>
              <w:pStyle w:val="Compact"/>
            </w:pPr>
            <w:r>
              <w:t xml:space="preserve">Contributors</w:t>
            </w:r>
          </w:p>
        </w:tc>
        <w:tc>
          <w:tcPr/>
          <w:p>
            <w:pPr>
              <w:pStyle w:val="Compact"/>
            </w:pPr>
            <w:r>
              <w:t xml:space="preserve">Threat model, credential storage, scanner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CONCURRENCY.md</w:t>
            </w:r>
          </w:p>
        </w:tc>
        <w:tc>
          <w:tcPr/>
          <w:p>
            <w:pPr>
              <w:pStyle w:val="Compact"/>
            </w:pPr>
            <w:r>
              <w:t xml:space="preserve">Contributors</w:t>
            </w:r>
          </w:p>
        </w:tc>
        <w:tc>
          <w:tcPr/>
          <w:p>
            <w:pPr>
              <w:pStyle w:val="Compact"/>
            </w:pPr>
            <w:r>
              <w:t xml:space="preserve">Asyncio model, semaphores, retries, graceful shutdown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OBSERVABILITY.md</w:t>
            </w:r>
          </w:p>
        </w:tc>
        <w:tc>
          <w:tcPr/>
          <w:p>
            <w:pPr>
              <w:pStyle w:val="Compact"/>
            </w:pPr>
            <w:r>
              <w:t xml:space="preserve">Contributors</w:t>
            </w:r>
          </w:p>
        </w:tc>
        <w:tc>
          <w:tcPr/>
          <w:p>
            <w:pPr>
              <w:pStyle w:val="Compact"/>
            </w:pPr>
            <w:r>
              <w:t xml:space="preserve">Prometheus + Grafana stack, metric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PERFORMANCE.md</w:t>
            </w:r>
          </w:p>
        </w:tc>
        <w:tc>
          <w:tcPr/>
          <w:p>
            <w:pPr>
              <w:pStyle w:val="Compact"/>
            </w:pPr>
            <w:r>
              <w:t xml:space="preserve">Contributors</w:t>
            </w:r>
          </w:p>
        </w:tc>
        <w:tc>
          <w:tcPr/>
          <w:p>
            <w:pPr>
              <w:pStyle w:val="Compact"/>
            </w:pPr>
            <w:r>
              <w:t xml:space="preserve">pytest-benchmark suite, Locust load profile, SLOs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DATA_MODEL.md</w:t>
            </w:r>
          </w:p>
        </w:tc>
        <w:tc>
          <w:tcPr/>
          <w:p>
            <w:pPr>
              <w:pStyle w:val="Compact"/>
            </w:pPr>
            <w:r>
              <w:t xml:space="preserve">Contributors</w:t>
            </w:r>
          </w:p>
        </w:tc>
        <w:tc>
          <w:tcPr/>
          <w:p>
            <w:pPr>
              <w:pStyle w:val="Compact"/>
            </w:pPr>
            <w:r>
              <w:t xml:space="preserve">Pydantic + dataclass schemas (no relational DB)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COVERAGE_BASELINE.md</w:t>
            </w:r>
          </w:p>
        </w:tc>
        <w:tc>
          <w:tcPr/>
          <w:p>
            <w:pPr>
              <w:pStyle w:val="Compact"/>
            </w:pPr>
            <w:r>
              <w:t xml:space="preserve">Contributors</w:t>
            </w:r>
          </w:p>
        </w:tc>
        <w:tc>
          <w:tcPr/>
          <w:p>
            <w:pPr>
              <w:pStyle w:val="Compact"/>
            </w:pPr>
            <w:r>
              <w:t xml:space="preserve">Module-by-module coverage zero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QUALITY_STACK.md</w:t>
            </w:r>
          </w:p>
        </w:tc>
        <w:tc>
          <w:tcPr/>
          <w:p>
            <w:pPr>
              <w:pStyle w:val="Compact"/>
            </w:pPr>
            <w:r>
              <w:t xml:space="preserve">Contributors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docker-compose.quality.yml</w:t>
            </w:r>
            <w:r>
              <w:t xml:space="preserve"> </w:t>
            </w:r>
            <w:r>
              <w:t xml:space="preserve">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SCANNING.md</w:t>
            </w:r>
          </w:p>
        </w:tc>
        <w:tc>
          <w:tcPr/>
          <w:p>
            <w:pPr>
              <w:pStyle w:val="Compact"/>
            </w:pPr>
            <w:r>
              <w:t xml:space="preserve">Contributors</w:t>
            </w:r>
          </w:p>
        </w:tc>
        <w:tc>
          <w:tcPr/>
          <w:p>
            <w:pPr>
              <w:pStyle w:val="Compact"/>
            </w:pPr>
            <w:r>
              <w:t xml:space="preserve">Seven-scanner stack and triage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architecture/*.mmd</w:t>
            </w:r>
          </w:p>
        </w:tc>
        <w:tc>
          <w:tcPr/>
          <w:p>
            <w:pPr>
              <w:pStyle w:val="Compact"/>
            </w:pPr>
            <w:r>
              <w:t xml:space="preserve">Contributors</w:t>
            </w:r>
          </w:p>
        </w:tc>
        <w:tc>
          <w:tcPr/>
          <w:p>
            <w:pPr>
              <w:pStyle w:val="Compact"/>
            </w:pPr>
            <w:r>
              <w:t xml:space="preserve">Mermaid diagrams for container, search, shutdown, plugin, bridge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issues/*.md</w:t>
            </w:r>
          </w:p>
        </w:tc>
        <w:tc>
          <w:tcPr/>
          <w:p>
            <w:pPr>
              <w:pStyle w:val="Compact"/>
            </w:pPr>
            <w:r>
              <w:t xml:space="preserve">Contributors</w:t>
            </w:r>
          </w:p>
        </w:tc>
        <w:tc>
          <w:tcPr/>
          <w:p>
            <w:pPr>
              <w:pStyle w:val="Compact"/>
            </w:pPr>
            <w:r>
              <w:t xml:space="preserve">Frozen post-mortems for specific incidents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superpowers/plans/*.md</w:t>
            </w:r>
          </w:p>
        </w:tc>
        <w:tc>
          <w:tcPr/>
          <w:p>
            <w:pPr>
              <w:pStyle w:val="Compact"/>
            </w:pPr>
            <w:r>
              <w:t xml:space="preserve">Contributors</w:t>
            </w:r>
          </w:p>
        </w:tc>
        <w:tc>
          <w:tcPr/>
          <w:p>
            <w:pPr>
              <w:pStyle w:val="Compact"/>
            </w:pPr>
            <w:r>
              <w:t xml:space="preserve">Long-horizon implementation plans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../courses/README.md</w:t>
            </w:r>
          </w:p>
        </w:tc>
        <w:tc>
          <w:tcPr/>
          <w:p>
            <w:pPr>
              <w:pStyle w:val="Compact"/>
            </w:pPr>
            <w:r>
              <w:t xml:space="preserve">All audiences</w:t>
            </w:r>
          </w:p>
        </w:tc>
        <w:tc>
          <w:tcPr/>
          <w:p>
            <w:pPr>
              <w:pStyle w:val="Compact"/>
            </w:pPr>
            <w:r>
              <w:t xml:space="preserve">Asciinema video-course tracks (operator, plugin author, contributor, security/ops)</w:t>
            </w:r>
          </w:p>
        </w:tc>
      </w:tr>
    </w:tbl>
    <w:bookmarkEnd w:id="11"/>
    <w:bookmarkStart w:id="12" w:name="conventions"/>
    <w:p>
      <w:pPr>
        <w:pStyle w:val="Heading2"/>
      </w:pPr>
      <w:r>
        <w:t xml:space="preserve">Conventions</w:t>
      </w:r>
    </w:p>
    <w:p>
      <w:pPr>
        <w:pStyle w:val="Compact"/>
        <w:numPr>
          <w:ilvl w:val="0"/>
          <w:numId w:val="1003"/>
        </w:numPr>
      </w:pPr>
      <w:r>
        <w:t xml:space="preserve">Markdown only. Diagrams are Mermaid (</w:t>
      </w:r>
      <w:r>
        <w:rPr>
          <w:rStyle w:val="VerbatimChar"/>
        </w:rPr>
        <w:t xml:space="preserve">.mmd</w:t>
      </w:r>
      <w:r>
        <w:t xml:space="preserve">), not PlantUML / drawio.</w:t>
      </w:r>
    </w:p>
    <w:p>
      <w:pPr>
        <w:pStyle w:val="Compact"/>
        <w:numPr>
          <w:ilvl w:val="0"/>
          <w:numId w:val="1003"/>
        </w:numPr>
      </w:pPr>
      <w:r>
        <w:t xml:space="preserve">Wrap at 80 columns where practical; long URLs and code blocks are</w:t>
      </w:r>
      <w:r>
        <w:t xml:space="preserve"> </w:t>
      </w:r>
      <w:r>
        <w:t xml:space="preserve">exempt.</w:t>
      </w:r>
    </w:p>
    <w:p>
      <w:pPr>
        <w:pStyle w:val="Compact"/>
        <w:numPr>
          <w:ilvl w:val="0"/>
          <w:numId w:val="1003"/>
        </w:numPr>
      </w:pPr>
      <w:r>
        <w:t xml:space="preserve">Link siblings with relative paths (</w:t>
      </w:r>
      <w:r>
        <w:rPr>
          <w:rStyle w:val="VerbatimChar"/>
        </w:rPr>
        <w:t xml:space="preserve">./SECURITY.md</w:t>
      </w:r>
      <w:r>
        <w:t xml:space="preserve">), never absolute.</w:t>
      </w:r>
    </w:p>
    <w:p>
      <w:pPr>
        <w:pStyle w:val="Compact"/>
        <w:numPr>
          <w:ilvl w:val="0"/>
          <w:numId w:val="1003"/>
        </w:numPr>
      </w:pPr>
      <w:r>
        <w:t xml:space="preserve">Code blocks must specify a language tag so the MkDocs build renders</w:t>
      </w:r>
      <w:r>
        <w:t xml:space="preserve"> </w:t>
      </w:r>
      <w:r>
        <w:t xml:space="preserve">syntax highlighting.</w:t>
      </w:r>
    </w:p>
    <w:p>
      <w:pPr>
        <w:pStyle w:val="Compact"/>
        <w:numPr>
          <w:ilvl w:val="0"/>
          <w:numId w:val="1003"/>
        </w:numPr>
      </w:pPr>
      <w:r>
        <w:t xml:space="preserve">Filenames use</w:t>
      </w:r>
      <w:r>
        <w:t xml:space="preserve"> </w:t>
      </w:r>
      <w:r>
        <w:rPr>
          <w:rStyle w:val="VerbatimChar"/>
        </w:rPr>
        <w:t xml:space="preserve">UPPERCASE_SNAKE_CASE.md</w:t>
      </w:r>
      <w:r>
        <w:t xml:space="preserve"> </w:t>
      </w:r>
      <w:r>
        <w:t xml:space="preserve">for canonical subsystem docs,</w:t>
      </w:r>
      <w:r>
        <w:t xml:space="preserve"> </w:t>
      </w:r>
      <w:r>
        <w:rPr>
          <w:rStyle w:val="VerbatimChar"/>
        </w:rPr>
        <w:t xml:space="preserve">lowercase-kebab-case.md</w:t>
      </w:r>
      <w:r>
        <w:t xml:space="preserve"> </w:t>
      </w:r>
      <w:r>
        <w:t xml:space="preserve">for transient notes under</w:t>
      </w:r>
      <w:r>
        <w:t xml:space="preserve"> </w:t>
      </w:r>
      <w:r>
        <w:rPr>
          <w:rStyle w:val="VerbatimChar"/>
        </w:rPr>
        <w:t xml:space="preserve">issues/</w:t>
      </w:r>
      <w:r>
        <w:t xml:space="preserve">.</w:t>
      </w:r>
    </w:p>
    <w:bookmarkEnd w:id="12"/>
    <w:bookmarkStart w:id="13" w:name="what-does-not-live-here"/>
    <w:p>
      <w:pPr>
        <w:pStyle w:val="Heading2"/>
      </w:pPr>
      <w:r>
        <w:t xml:space="preserve">What does NOT live here</w:t>
      </w:r>
    </w:p>
    <w:p>
      <w:pPr>
        <w:pStyle w:val="Compact"/>
        <w:numPr>
          <w:ilvl w:val="0"/>
          <w:numId w:val="1004"/>
        </w:numPr>
      </w:pPr>
      <w:r>
        <w:t xml:space="preserve">API reference — FastAPI auto-generates OpenAPI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on the live</w:t>
      </w:r>
      <w:r>
        <w:t xml:space="preserve"> </w:t>
      </w:r>
      <w:r>
        <w:t xml:space="preserve">service (port 7187).</w:t>
      </w:r>
    </w:p>
    <w:p>
      <w:pPr>
        <w:pStyle w:val="Compact"/>
        <w:numPr>
          <w:ilvl w:val="0"/>
          <w:numId w:val="1004"/>
        </w:numPr>
      </w:pPr>
      <w:r>
        <w:t xml:space="preserve">Frontend docs — see</w:t>
      </w:r>
      <w:r>
        <w:t xml:space="preserve"> </w:t>
      </w:r>
      <w:r>
        <w:rPr>
          <w:rStyle w:val="VerbatimChar"/>
        </w:rPr>
        <w:t xml:space="preserve">frontend/README.md</w:t>
      </w:r>
      <w:r>
        <w:t xml:space="preserve"> </w:t>
      </w:r>
      <w:r>
        <w:t xml:space="preserve">(Angular 19, Vitest).</w:t>
      </w:r>
    </w:p>
    <w:p>
      <w:pPr>
        <w:pStyle w:val="Compact"/>
        <w:numPr>
          <w:ilvl w:val="0"/>
          <w:numId w:val="1004"/>
        </w:numPr>
      </w:pPr>
      <w:r>
        <w:t xml:space="preserve">Constitution / GitSpec memory — see</w:t>
      </w:r>
      <w:r>
        <w:t xml:space="preserve"> </w:t>
      </w:r>
      <w:r>
        <w:rPr>
          <w:rStyle w:val="VerbatimChar"/>
        </w:rPr>
        <w:t xml:space="preserve">.specify/README.md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Test runner README — see</w:t>
      </w:r>
      <w:r>
        <w:t xml:space="preserve"> </w:t>
      </w:r>
      <w:r>
        <w:rPr>
          <w:rStyle w:val="VerbatimChar"/>
        </w:rPr>
        <w:t xml:space="preserve">tests/README.md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Commit style and PR rules — see</w:t>
      </w:r>
      <w:r>
        <w:t xml:space="preserve"> </w:t>
      </w:r>
      <w:r>
        <w:rPr>
          <w:rStyle w:val="VerbatimChar"/>
        </w:rPr>
        <w:t xml:space="preserve">CONTRIBUTING.md</w:t>
      </w:r>
      <w:r>
        <w:t xml:space="preserve">.</w:t>
      </w:r>
    </w:p>
    <w:bookmarkEnd w:id="13"/>
    <w:bookmarkStart w:id="14" w:name="tests"/>
    <w:p>
      <w:pPr>
        <w:pStyle w:val="Heading2"/>
      </w:pPr>
      <w:r>
        <w:t xml:space="preserve">Tests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tests/unit/test_docs_presence.py</w:t>
      </w:r>
      <w:r>
        <w:t xml:space="preserve"> </w:t>
      </w:r>
      <w:r>
        <w:t xml:space="preserve">verifies the canonical subsystem</w:t>
      </w:r>
      <w:r>
        <w:t xml:space="preserve"> </w:t>
      </w:r>
      <w:r>
        <w:t xml:space="preserve">docs (</w:t>
      </w:r>
      <w:r>
        <w:rPr>
          <w:rStyle w:val="VerbatimChar"/>
        </w:rPr>
        <w:t xml:space="preserve">TESTING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QUALITY_STACK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COVERAGE_BASELINE</w:t>
      </w:r>
      <w:r>
        <w:t xml:space="preserve">) are present.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tests/unit/test_architecture_diagrams.py</w:t>
      </w:r>
      <w:r>
        <w:t xml:space="preserve"> </w:t>
      </w:r>
      <w:r>
        <w:t xml:space="preserve">verifies the Mermaid files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architecture/</w:t>
      </w:r>
      <w:r>
        <w:t xml:space="preserve"> </w:t>
      </w:r>
      <w:r>
        <w:t xml:space="preserve">exist.</w:t>
      </w:r>
    </w:p>
    <w:bookmarkEnd w:id="14"/>
    <w:bookmarkStart w:id="15" w:name="gotchas"/>
    <w:p>
      <w:pPr>
        <w:pStyle w:val="Heading2"/>
      </w:pPr>
      <w:r>
        <w:t xml:space="preserve">Gotchas</w:t>
      </w:r>
    </w:p>
    <w:p>
      <w:pPr>
        <w:pStyle w:val="Compact"/>
        <w:numPr>
          <w:ilvl w:val="0"/>
          <w:numId w:val="1006"/>
        </w:numPr>
      </w:pPr>
      <w:r>
        <w:t xml:space="preserve">The current structure has</w:t>
      </w:r>
      <w:r>
        <w:t xml:space="preserve"> </w:t>
      </w:r>
      <w:r>
        <w:rPr>
          <w:b/>
          <w:bCs/>
        </w:rPr>
        <w:t xml:space="preserve">no docs-site generator</w:t>
      </w:r>
      <w:r>
        <w:t xml:space="preserve">; Phase 8 of the</w:t>
      </w:r>
      <w:r>
        <w:t xml:space="preserve"> </w:t>
      </w:r>
      <w:r>
        <w:t xml:space="preserve">completion plan introduces MkDocs Material under</w:t>
      </w:r>
      <w:r>
        <w:t xml:space="preserve"> </w:t>
      </w:r>
      <w:r>
        <w:rPr>
          <w:rStyle w:val="VerbatimChar"/>
        </w:rPr>
        <w:t xml:space="preserve">website/</w:t>
      </w:r>
      <w:r>
        <w:t xml:space="preserve">. Until</w:t>
      </w:r>
      <w:r>
        <w:t xml:space="preserve"> </w:t>
      </w:r>
      <w:r>
        <w:t xml:space="preserve">then these files are read as plain markdown on GitHub.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docs/superpowers/plans/</w:t>
      </w:r>
      <w:r>
        <w:t xml:space="preserve"> </w:t>
      </w:r>
      <w:r>
        <w:t xml:space="preserve">is written by the</w:t>
      </w:r>
      <w:r>
        <w:t xml:space="preserve"> </w:t>
      </w:r>
      <w:r>
        <w:rPr>
          <w:rStyle w:val="VerbatimChar"/>
        </w:rPr>
        <w:t xml:space="preserve">superpowers:writing-plans</w:t>
      </w:r>
      <w:r>
        <w:t xml:space="preserve"> </w:t>
      </w:r>
      <w:r>
        <w:t xml:space="preserve">skill and is not meant to be edited by hand mid-phase.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2026-09-01T16:23:22Z</dcterms:created>
  <dcterms:modified xsi:type="dcterms:W3CDTF">2026-09-01T16:23:22Z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