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bobalink-development-guide"/>
    <w:p>
      <w:pPr>
        <w:pStyle w:val="Heading1"/>
      </w:pPr>
      <w:r>
        <w:t xml:space="preserve">BobaLink — Development Guide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2026-06-10T21:00:00Z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Architecture, layout, testing, and contribution rules for BobaLink (</w:t>
      </w:r>
      <w:r>
        <w:rPr>
          <w:rStyle w:val="VerbatimChar"/>
        </w:rPr>
        <w:t xml:space="preserve">extension/</w:t>
      </w:r>
      <w:r>
        <w:t xml:space="preserve">).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rPr>
          <w:rStyle w:val="VerbatimChar"/>
        </w:rPr>
        <w:t xml:space="preserve">extension/package.json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extension/wxt.config.ts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docs/browser_extension/IMPLEMENTATION_PLAN.md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docs/browser_extension/Status.md</w:t>
      </w:r>
      <w:r>
        <w:t xml:space="preserve"> </w:t>
      </w:r>
      <w:r>
        <w:t xml:space="preserve">(Rev 4), project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constitution/</w:t>
      </w:r>
      <w:r>
        <w:t xml:space="preserve">.</w:t>
      </w:r>
    </w:p>
    <w:p>
      <w:pPr>
        <w:pStyle w:val="BlockText"/>
      </w:pPr>
      <w:r>
        <w:t xml:space="preserve">Accuracy note (§11.4.6): the architecture and commands below reflect the real</w:t>
      </w:r>
      <w:r>
        <w:t xml:space="preserve"> </w:t>
      </w:r>
      <w:r>
        <w:t xml:space="preserve">tree at HEAD</w:t>
      </w:r>
      <w:r>
        <w:t xml:space="preserve"> </w:t>
      </w:r>
      <w:r>
        <w:rPr>
          <w:rStyle w:val="VerbatimChar"/>
        </w:rPr>
        <w:t xml:space="preserve">2011810</w:t>
      </w:r>
      <w:r>
        <w:t xml:space="preserve">. Phases still open are marked</w:t>
      </w:r>
      <w:r>
        <w:t xml:space="preserve"> </w:t>
      </w:r>
      <w:r>
        <w:rPr>
          <w:b/>
          <w:bCs/>
        </w:rPr>
        <w:t xml:space="preserve">(in progress)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stack"/>
    <w:p>
      <w:pPr>
        <w:pStyle w:val="Heading2"/>
      </w:pPr>
      <w:r>
        <w:t xml:space="preserve">Stack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WXT</w:t>
      </w:r>
      <w:r>
        <w:t xml:space="preserve"> </w:t>
      </w:r>
      <w:r>
        <w:t xml:space="preserve">(</w:t>
      </w:r>
      <w:r>
        <w:rPr>
          <w:rStyle w:val="VerbatimChar"/>
        </w:rPr>
        <w:t xml:space="preserve">wxt ^0.19.0</w:t>
      </w:r>
      <w:r>
        <w:t xml:space="preserve">) — the WebExtension build framework; generates the MV3</w:t>
      </w:r>
      <w:r>
        <w:t xml:space="preserve"> </w:t>
      </w:r>
      <w:r>
        <w:t xml:space="preserve">manifest from</w:t>
      </w:r>
      <w:r>
        <w:t xml:space="preserve"> </w:t>
      </w:r>
      <w:r>
        <w:rPr>
          <w:rStyle w:val="VerbatimChar"/>
        </w:rPr>
        <w:t xml:space="preserve">wxt.config.ts</w:t>
      </w:r>
      <w:r>
        <w:t xml:space="preserve"> </w:t>
      </w:r>
      <w:r>
        <w:t xml:space="preserve">and bundles entrypoints into</w:t>
      </w:r>
      <w:r>
        <w:t xml:space="preserve"> </w:t>
      </w:r>
      <w:r>
        <w:rPr>
          <w:rStyle w:val="VerbatimChar"/>
        </w:rPr>
        <w:t xml:space="preserve">.output/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TypeScript</w:t>
      </w:r>
      <w:r>
        <w:t xml:space="preserve"> </w:t>
      </w:r>
      <w:r>
        <w:t xml:space="preserve">(</w:t>
      </w:r>
      <w:r>
        <w:rPr>
          <w:rStyle w:val="VerbatimChar"/>
        </w:rPr>
        <w:t xml:space="preserve">^5.7.0</w:t>
      </w:r>
      <w:r>
        <w:t xml:space="preserve">, strict) —</w:t>
      </w:r>
      <w:r>
        <w:t xml:space="preserve"> </w:t>
      </w:r>
      <w:r>
        <w:rPr>
          <w:rStyle w:val="VerbatimChar"/>
        </w:rPr>
        <w:t xml:space="preserve">npm run compile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tsc --noEmit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^2.1.8</w:t>
      </w:r>
      <w:r>
        <w:t xml:space="preserve">) +</w:t>
      </w:r>
      <w:r>
        <w:t xml:space="preserve"> </w:t>
      </w:r>
      <w:r>
        <w:rPr>
          <w:rStyle w:val="VerbatimChar"/>
        </w:rPr>
        <w:t xml:space="preserve">@vitest/coverage-v8</w:t>
      </w:r>
      <w:r>
        <w:t xml:space="preserve"> </w:t>
      </w:r>
      <w:r>
        <w:t xml:space="preserve">— unit/integration/etc. tests.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Playwright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@playwright/test ^1.49.0</w:t>
      </w:r>
      <w:r>
        <w:t xml:space="preserve">) — end-to-end (real MV3 extension</w:t>
      </w:r>
      <w:r>
        <w:t xml:space="preserve"> </w:t>
      </w:r>
      <w:r>
        <w:t xml:space="preserve">load).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ESLint</w:t>
      </w:r>
      <w:r>
        <w:t xml:space="preserve"> </w:t>
      </w:r>
      <w:r>
        <w:t xml:space="preserve">(</w:t>
      </w:r>
      <w:r>
        <w:rPr>
          <w:rStyle w:val="VerbatimChar"/>
        </w:rPr>
        <w:t xml:space="preserve">^9.17.0</w:t>
      </w:r>
      <w:r>
        <w:t xml:space="preserve">) + Prettier — lint/format.</w:t>
      </w:r>
    </w:p>
    <w:p>
      <w:pPr>
        <w:pStyle w:val="Compact"/>
        <w:numPr>
          <w:ilvl w:val="0"/>
          <w:numId w:val="1001"/>
        </w:numPr>
      </w:pPr>
      <w:r>
        <w:t xml:space="preserve">Runtime dependency:</w:t>
      </w:r>
      <w:r>
        <w:t xml:space="preserve"> </w:t>
      </w:r>
      <w:r>
        <w:rPr>
          <w:rStyle w:val="VerbatimChar"/>
        </w:rPr>
        <w:t xml:space="preserve">webextension-polyfill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Node ≥ 20, ESM (</w:t>
      </w:r>
      <w:r>
        <w:rPr>
          <w:rStyle w:val="VerbatimChar"/>
        </w:rPr>
        <w:t xml:space="preserve">"type": "module"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9"/>
    <w:bookmarkStart w:id="11" w:name="architecture"/>
    <w:p>
      <w:pPr>
        <w:pStyle w:val="Heading2"/>
      </w:pPr>
      <w:r>
        <w:t xml:space="preserve">Architecture</w:t>
      </w:r>
    </w:p>
    <w:p>
      <w:pPr>
        <w:pStyle w:val="FirstParagraph"/>
      </w:pPr>
      <w:r>
        <w:t xml:space="preserve">The pipeline, end to end:</w:t>
      </w:r>
    </w:p>
    <w:p>
      <w:pPr>
        <w:pStyle w:val="SourceCode"/>
      </w:pPr>
      <w:r>
        <w:rPr>
          <w:rStyle w:val="VerbatimChar"/>
        </w:rPr>
        <w:t xml:space="preserve">page DOM</w:t>
      </w:r>
      <w:r>
        <w:br/>
      </w:r>
      <w:r>
        <w:rPr>
          <w:rStyle w:val="VerbatimChar"/>
        </w:rPr>
        <w:t xml:space="preserve">  → parser        (magnet / bencode / .torrent → SHA-1 infohash)</w:t>
      </w:r>
      <w:r>
        <w:br/>
      </w:r>
      <w:r>
        <w:rPr>
          <w:rStyle w:val="VerbatimChar"/>
        </w:rPr>
        <w:t xml:space="preserve">  → scanner       (link-scanner + text-scanner, MutationObserver, site selectors)</w:t>
      </w:r>
      <w:r>
        <w:br/>
      </w:r>
      <w:r>
        <w:rPr>
          <w:rStyle w:val="VerbatimChar"/>
        </w:rPr>
        <w:t xml:space="preserve">  → orchestrator  (cross-scanner dedup by infohash)</w:t>
      </w:r>
      <w:r>
        <w:br/>
      </w:r>
      <w:r>
        <w:rPr>
          <w:rStyle w:val="VerbatimChar"/>
        </w:rPr>
        <w:t xml:space="preserve">  → background    (service-worker message router; context menus; commands; alarms)</w:t>
      </w:r>
      <w:r>
        <w:br/>
      </w:r>
      <w:r>
        <w:rPr>
          <w:rStyle w:val="VerbatimChar"/>
        </w:rPr>
        <w:t xml:space="preserve">  → boba-client   (POST to the Boba merge service on :7187; token header; retry)</w:t>
      </w:r>
      <w:r>
        <w:br/>
      </w:r>
      <w:r>
        <w:rPr>
          <w:rStyle w:val="VerbatimChar"/>
        </w:rPr>
        <w:t xml:space="preserve">  → queue         (offline FIFO; persists across SW restart; auth-injected send)</w:t>
      </w:r>
    </w:p>
    <w:p>
      <w:pPr>
        <w:pStyle w:val="FirstParagraph"/>
      </w:pPr>
      <w:r>
        <w:t xml:space="preserve">Module map (under</w:t>
      </w:r>
      <w:r>
        <w:t xml:space="preserve"> </w:t>
      </w:r>
      <w:r>
        <w:rPr>
          <w:rStyle w:val="VerbatimChar"/>
        </w:rPr>
        <w:t xml:space="preserve">extension/src/</w:t>
      </w:r>
      <w:r>
        <w:t xml:space="preserve">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parsers</w:t>
      </w:r>
      <w:r>
        <w:t xml:space="preserve"> </w:t>
      </w:r>
      <w:r>
        <w:t xml:space="preserve">— magnet URI parsing, bencode decoding,</w:t>
      </w:r>
      <w:r>
        <w:t xml:space="preserve"> </w:t>
      </w:r>
      <w:r>
        <w:rPr>
          <w:rStyle w:val="VerbatimChar"/>
        </w:rPr>
        <w:t xml:space="preserve">.torrent</w:t>
      </w:r>
      <w:r>
        <w:t xml:space="preserve"> </w:t>
      </w:r>
      <w:r>
        <w:t xml:space="preserve">→ SHA-1 infohash</w:t>
      </w:r>
      <w:r>
        <w:t xml:space="preserve"> </w:t>
      </w:r>
      <w:r>
        <w:t xml:space="preserve">(</w:t>
      </w:r>
      <w:r>
        <w:rPr>
          <w:rStyle w:val="VerbatimChar"/>
        </w:rPr>
        <w:t xml:space="preserve">SHA-1(bencode(info))</w:t>
      </w:r>
      <w:r>
        <w:t xml:space="preserve"> </w:t>
      </w:r>
      <w:r>
        <w:t xml:space="preserve">via WebCrypto). Dedup key is the lowercase infohash.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scanners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link-scanner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text-scanner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content/scanner</w:t>
      </w:r>
      <w:r>
        <w:t xml:space="preserve">; stable</w:t>
      </w:r>
      <w:r>
        <w:t xml:space="preserve"> </w:t>
      </w:r>
      <w:r>
        <w:t xml:space="preserve">infohash-based IDs; Shadow-DOM/iframe aware; 500 ms MutationObserver debounce.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orchestrator</w:t>
      </w:r>
      <w:r>
        <w:t xml:space="preserve"> </w:t>
      </w:r>
      <w:r>
        <w:t xml:space="preserve">— runs the scanners and deduplicates across them.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background/index.ts</w:t>
      </w:r>
      <w:r>
        <w:t xml:space="preserve"> </w:t>
      </w:r>
      <w:r>
        <w:t xml:space="preserve">— the service-worker message router: dispatches</w:t>
      </w:r>
      <w:r>
        <w:t xml:space="preserve"> </w:t>
      </w:r>
      <w:r>
        <w:t xml:space="preserve">context-menu clicks (</w:t>
      </w:r>
      <w:r>
        <w:rPr>
          <w:rStyle w:val="VerbatimChar"/>
        </w:rPr>
        <w:t xml:space="preserve">bobalink-send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bobalink-send-all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bobalink-send-group</w:t>
      </w:r>
      <w:r>
        <w:t xml:space="preserve">), keyboard commands (</w:t>
      </w:r>
      <w:r>
        <w:rPr>
          <w:rStyle w:val="VerbatimChar"/>
        </w:rPr>
        <w:t xml:space="preserve">send-to-boba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scan-page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open-dashboard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chrome.alarms</w:t>
      </w:r>
      <w:r>
        <w:t xml:space="preserve"> </w:t>
      </w:r>
      <w:r>
        <w:t xml:space="preserve">keep-alive + periodic health checks.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api/boba-client.ts</w:t>
      </w:r>
      <w:r>
        <w:t xml:space="preserve"> </w:t>
      </w:r>
      <w:r>
        <w:t xml:space="preserve">— the Boba merge-service client (Phase 4,</w:t>
      </w:r>
      <w: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b/>
          <w:bCs/>
        </w:rPr>
        <w:t xml:space="preserve">progress</w:t>
      </w:r>
      <w:r>
        <w:t xml:space="preserve">): posts magnets/URLs to</w:t>
      </w:r>
      <w:r>
        <w:t xml:space="preserve"> </w:t>
      </w:r>
      <w:r>
        <w:rPr>
          <w:rStyle w:val="VerbatimChar"/>
        </w:rPr>
        <w:t xml:space="preserve">:7187</w:t>
      </w:r>
      <w:r>
        <w:t xml:space="preserve">, presents the optional decrypted</w:t>
      </w:r>
      <w:r>
        <w:t xml:space="preserve"> </w:t>
      </w:r>
      <w:r>
        <w:t xml:space="preserve">Boba API token as an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/</w:t>
      </w:r>
      <w:r>
        <w:rPr>
          <w:rStyle w:val="VerbatimChar"/>
        </w:rPr>
        <w:t xml:space="preserve">X-Boba-Token</w:t>
      </w:r>
      <w:r>
        <w:t xml:space="preserve"> </w:t>
      </w:r>
      <w:r>
        <w:t xml:space="preserve">header, with retry/backoff</w:t>
      </w:r>
      <w:r>
        <w:t xml:space="preserve"> </w:t>
      </w:r>
      <w:r>
        <w:t xml:space="preserve">and an</w:t>
      </w:r>
      <w:r>
        <w:t xml:space="preserve"> </w:t>
      </w:r>
      <w:r>
        <w:rPr>
          <w:rStyle w:val="VerbatimChar"/>
        </w:rPr>
        <w:t xml:space="preserve">AbortController</w:t>
      </w:r>
      <w:r>
        <w:t xml:space="preserve"> </w:t>
      </w:r>
      <w:r>
        <w:t xml:space="preserve">timeout.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api/queue.ts</w:t>
      </w:r>
      <w:r>
        <w:t xml:space="preserve"> </w:t>
      </w:r>
      <w:r>
        <w:t xml:space="preserve">— the offline FIFO queue; enqueues on send failure and</w:t>
      </w:r>
      <w:r>
        <w:t xml:space="preserve"> </w:t>
      </w:r>
      <w:r>
        <w:t xml:space="preserve">flushes when the backend recovers; durable across service-worker restart.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tabgroups/index.ts</w:t>
      </w:r>
      <w:r>
        <w:t xml:space="preserve"> </w:t>
      </w:r>
      <w:r>
        <w:t xml:space="preserve">— dedupe + batch dispatch across a Chrome tab group,</w:t>
      </w:r>
      <w:r>
        <w:t xml:space="preserve"> </w:t>
      </w:r>
      <w:r>
        <w:t xml:space="preserve">invoked from the background</w:t>
      </w:r>
      <w:r>
        <w:t xml:space="preserve"> </w:t>
      </w:r>
      <w:r>
        <w:rPr>
          <w:rStyle w:val="VerbatimChar"/>
        </w:rPr>
        <w:t xml:space="preserve">MENU_SEND_GROUP</w:t>
      </w:r>
      <w:r>
        <w:t xml:space="preserve"> </w:t>
      </w:r>
      <w:r>
        <w:t xml:space="preserve">handler.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shared/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constants.ts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crypto.ts</w:t>
      </w:r>
      <w:r>
        <w:t xml:space="preserve"> </w:t>
      </w:r>
      <w:r>
        <w:t xml:space="preserve">(AES-GCM-256 / PBKDF2),</w:t>
      </w:r>
      <w:r>
        <w:t xml:space="preserve"> </w:t>
      </w:r>
      <w:r>
        <w:rPr>
          <w:rStyle w:val="VerbatimChar"/>
        </w:rPr>
        <w:t xml:space="preserve">errors.ts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logger.ts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storage.ts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utils.ts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options/options.ts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  <w:b/>
          <w:bCs/>
        </w:rPr>
        <w:t xml:space="preserve">popup/</w:t>
      </w:r>
      <w:r>
        <w:t xml:space="preserve"> </w:t>
      </w:r>
      <w:r>
        <w:t xml:space="preserve">— the 7-tab options page and the</w:t>
      </w:r>
      <w:r>
        <w:t xml:space="preserve"> </w:t>
      </w:r>
      <w:r>
        <w:t xml:space="preserve">detected-list popup with Send / Send-All.</w:t>
      </w:r>
    </w:p>
    <w:bookmarkStart w:id="10" w:name="wxt-entrypoints-thin-wrappers"/>
    <w:p>
      <w:pPr>
        <w:pStyle w:val="Heading3"/>
      </w:pPr>
      <w:r>
        <w:t xml:space="preserve">WXT entrypoints (thin wrappers)</w:t>
      </w:r>
    </w:p>
    <w:p>
      <w:pPr>
        <w:pStyle w:val="FirstParagraph"/>
      </w:pPr>
      <w:r>
        <w:t xml:space="preserve">WXT discovers entrypoints under</w:t>
      </w:r>
      <w:r>
        <w:t xml:space="preserve"> </w:t>
      </w:r>
      <w:r>
        <w:rPr>
          <w:rStyle w:val="VerbatimChar"/>
        </w:rPr>
        <w:t xml:space="preserve">extension/src/entrypoints/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src/entrypoints/</w:t>
      </w:r>
      <w:r>
        <w:br/>
      </w:r>
      <w:r>
        <w:rPr>
          <w:rStyle w:val="VerbatimChar"/>
        </w:rPr>
        <w:t xml:space="preserve">  background.ts          → background.js service worker</w:t>
      </w:r>
      <w:r>
        <w:br/>
      </w:r>
      <w:r>
        <w:rPr>
          <w:rStyle w:val="VerbatimChar"/>
        </w:rPr>
        <w:t xml:space="preserve">  content.ts             → content-scripts/content.js</w:t>
      </w:r>
      <w:r>
        <w:br/>
      </w:r>
      <w:r>
        <w:rPr>
          <w:rStyle w:val="VerbatimChar"/>
        </w:rPr>
        <w:t xml:space="preserve">  popup/index.html       → popup.html</w:t>
      </w:r>
      <w:r>
        <w:br/>
      </w:r>
      <w:r>
        <w:rPr>
          <w:rStyle w:val="VerbatimChar"/>
        </w:rPr>
        <w:t xml:space="preserve">  options/index.html     → options.html</w:t>
      </w:r>
    </w:p>
    <w:p>
      <w:pPr>
        <w:pStyle w:val="FirstParagraph"/>
      </w:pPr>
      <w:r>
        <w:t xml:space="preserve">These are</w:t>
      </w:r>
      <w:r>
        <w:t xml:space="preserve"> </w:t>
      </w:r>
      <w:r>
        <w:rPr>
          <w:b/>
          <w:bCs/>
        </w:rPr>
        <w:t xml:space="preserve">thin wrappers</w:t>
      </w:r>
      <w:r>
        <w:t xml:space="preserve"> </w:t>
      </w:r>
      <w:r>
        <w:t xml:space="preserve">over the logic modules listed above — the heavy logic</w:t>
      </w:r>
      <w:r>
        <w:t xml:space="preserve"> </w:t>
      </w:r>
      <w:r>
        <w:t xml:space="preserve">lives in</w:t>
      </w:r>
      <w:r>
        <w:t xml:space="preserve"> </w:t>
      </w:r>
      <w:r>
        <w:rPr>
          <w:rStyle w:val="VerbatimChar"/>
        </w:rPr>
        <w:t xml:space="preserve">src/{parsers,scanners,background,api,options,popup,shared,...}/</w:t>
      </w:r>
      <w:r>
        <w:t xml:space="preserve">, so the</w:t>
      </w:r>
      <w:r>
        <w:t xml:space="preserve"> </w:t>
      </w:r>
      <w:r>
        <w:t xml:space="preserve">existing unit tests import the logic modules directly and stay valid regardless of</w:t>
      </w:r>
      <w:r>
        <w:t xml:space="preserve"> </w:t>
      </w:r>
      <w:r>
        <w:t xml:space="preserve">WXT’s entrypoint plumbing (</w:t>
      </w:r>
      <w:r>
        <w:rPr>
          <w:rStyle w:val="VerbatimChar"/>
        </w:rPr>
        <w:t xml:space="preserve">Status.md</w:t>
      </w:r>
      <w:r>
        <w:t xml:space="preserve"> </w:t>
      </w:r>
      <w:r>
        <w:t xml:space="preserve">Rev 4,</w:t>
      </w:r>
      <w:r>
        <w:t xml:space="preserve"> </w:t>
      </w:r>
      <w:r>
        <w:t xml:space="preserve">“WXT build wiring — COMPLETE”</w:t>
      </w:r>
      <w:r>
        <w:t xml:space="preserve">).</w:t>
      </w:r>
    </w:p>
    <w:p>
      <w:pPr>
        <w:pStyle w:val="BodyText"/>
      </w:pPr>
      <w:r>
        <w:rPr>
          <w:rStyle w:val="VerbatimChar"/>
        </w:rPr>
        <w:t xml:space="preserve">wxt.config.ts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srcDir: "src"</w:t>
      </w:r>
      <w:r>
        <w:t xml:space="preserve">,</w:t>
      </w:r>
      <w:r>
        <w:t xml:space="preserve"> </w:t>
      </w:r>
      <w:r>
        <w:rPr>
          <w:rStyle w:val="VerbatimChar"/>
        </w:rPr>
        <w:t xml:space="preserve">outDir: ".output"</w:t>
      </w:r>
      <w:r>
        <w:t xml:space="preserve">, the MV3 manifest</w:t>
      </w:r>
      <w:r>
        <w:t xml:space="preserve"> </w:t>
      </w:r>
      <w:r>
        <w:t xml:space="preserve">(least-privilege permissions, localhost-only</w:t>
      </w:r>
      <w:r>
        <w:t xml:space="preserve"> </w:t>
      </w:r>
      <w:r>
        <w:rPr>
          <w:rStyle w:val="VerbatimChar"/>
        </w:rPr>
        <w:t xml:space="preserve">host_permissions</w:t>
      </w:r>
      <w:r>
        <w:t xml:space="preserve">, the CSP, the</w:t>
      </w:r>
      <w:r>
        <w:t xml:space="preserve"> </w:t>
      </w:r>
      <w:r>
        <w:t xml:space="preserve">three keyboard</w:t>
      </w:r>
      <w:r>
        <w:t xml:space="preserve"> </w:t>
      </w:r>
      <w:r>
        <w:rPr>
          <w:rStyle w:val="VerbatimChar"/>
        </w:rPr>
        <w:t xml:space="preserve">commands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@wxt-dev/auto-icons</w:t>
      </w:r>
      <w:r>
        <w:t xml:space="preserve"> </w:t>
      </w:r>
      <w:r>
        <w:t xml:space="preserve">to rasterize icon sizes.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running-tests"/>
    <w:p>
      <w:pPr>
        <w:pStyle w:val="Heading2"/>
      </w:pPr>
      <w:r>
        <w:t xml:space="preserve">Running tests</w:t>
      </w:r>
    </w:p>
    <w:p>
      <w:pPr>
        <w:pStyle w:val="FirstParagraph"/>
      </w:pPr>
      <w:r>
        <w:t xml:space="preserve">From</w:t>
      </w:r>
      <w:r>
        <w:t xml:space="preserve"> </w:t>
      </w:r>
      <w:r>
        <w:rPr>
          <w:rStyle w:val="VerbatimChar"/>
        </w:rPr>
        <w:t xml:space="preserve">extension/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vitest run          </w:t>
      </w:r>
      <w:r>
        <w:rPr>
          <w:rStyle w:val="CommentTok"/>
        </w:rPr>
        <w:t xml:space="preserve"># the full unit/integration/security/perf/etc. suite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            </w:t>
      </w:r>
      <w:r>
        <w:rPr>
          <w:rStyle w:val="CommentTok"/>
        </w:rPr>
        <w:t xml:space="preserve"># === vitest run --coverage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test:watch      </w:t>
      </w:r>
      <w:r>
        <w:rPr>
          <w:rStyle w:val="CommentTok"/>
        </w:rPr>
        <w:t xml:space="preserve"># vitest in watch mode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test:live       </w:t>
      </w:r>
      <w:r>
        <w:rPr>
          <w:rStyle w:val="CommentTok"/>
        </w:rPr>
        <w:t xml:space="preserve"># vitest run --config tests/live/vitest.live.config.ts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test:e2e        </w:t>
      </w:r>
      <w:r>
        <w:rPr>
          <w:rStyle w:val="CommentTok"/>
        </w:rPr>
        <w:t xml:space="preserve"># playwright test (real MV3 extension load)</w:t>
      </w:r>
    </w:p>
    <w:p>
      <w:pPr>
        <w:pStyle w:val="Compact"/>
        <w:numPr>
          <w:ilvl w:val="0"/>
          <w:numId w:val="1003"/>
        </w:numPr>
      </w:pPr>
      <w:r>
        <w:t xml:space="preserve">The Vitest corpus lives under</w:t>
      </w:r>
      <w:r>
        <w:t xml:space="preserve"> </w:t>
      </w:r>
      <w:r>
        <w:rPr>
          <w:rStyle w:val="VerbatimChar"/>
        </w:rPr>
        <w:t xml:space="preserve">extension/tests/{unit,perf,stress,chaos,integration,security,e2e}</w:t>
      </w:r>
      <w:r>
        <w:t xml:space="preserve"> </w:t>
      </w:r>
      <w:r>
        <w:t xml:space="preserve">and alongside source in</w:t>
      </w:r>
      <w:r>
        <w:t xml:space="preserve"> </w:t>
      </w:r>
      <w:r>
        <w:rPr>
          <w:rStyle w:val="VerbatimChar"/>
        </w:rPr>
        <w:t xml:space="preserve">src/**</w:t>
      </w:r>
      <w:r>
        <w:t xml:space="preserve">. As of</w:t>
      </w:r>
      <w:r>
        <w:t xml:space="preserve"> </w:t>
      </w:r>
      <w:r>
        <w:rPr>
          <w:rStyle w:val="VerbatimChar"/>
        </w:rPr>
        <w:t xml:space="preserve">Status.md</w:t>
      </w:r>
      <w:r>
        <w:t xml:space="preserve"> </w:t>
      </w:r>
      <w:r>
        <w:t xml:space="preserve">Rev 4 a same-session</w:t>
      </w:r>
      <w:r>
        <w:t xml:space="preserve"> </w:t>
      </w:r>
      <w:r>
        <w:rPr>
          <w:rStyle w:val="VerbatimChar"/>
        </w:rPr>
        <w:t xml:space="preserve">npx vitest run</w:t>
      </w:r>
      <w:r>
        <w:t xml:space="preserve"> </w:t>
      </w:r>
      <w:r>
        <w:t xml:space="preserve">reported</w:t>
      </w:r>
      <w:r>
        <w:t xml:space="preserve"> </w:t>
      </w:r>
      <w:r>
        <w:rPr>
          <w:rStyle w:val="VerbatimChar"/>
        </w:rPr>
        <w:t xml:space="preserve">Tests 413 passed (413)</w:t>
      </w:r>
      <w:r>
        <w:t xml:space="preserve"> </w:t>
      </w:r>
      <w:r>
        <w:t xml:space="preserve">across 37 spec files.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test:live</w:t>
      </w:r>
      <w:r>
        <w:t xml:space="preserve"> </w:t>
      </w:r>
      <w:r>
        <w:t xml:space="preserve">targets a live backend; live integration uses a</w:t>
      </w:r>
      <w:r>
        <w:t xml:space="preserve"> </w:t>
      </w:r>
      <w:r>
        <w:rPr>
          <w:rStyle w:val="VerbatimChar"/>
        </w:rPr>
        <w:t xml:space="preserve">require_backend(7187)</w:t>
      </w:r>
      <w:r>
        <w:t xml:space="preserve"> </w:t>
      </w:r>
      <w:r>
        <w:t xml:space="preserve">guard that</w:t>
      </w:r>
      <w:r>
        <w:t xml:space="preserve"> </w:t>
      </w:r>
      <w:r>
        <w:rPr>
          <w:b/>
          <w:bCs/>
        </w:rPr>
        <w:t xml:space="preserve">SKIPs with reason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:7187</w:t>
      </w:r>
      <w:r>
        <w:t xml:space="preserve"> </w:t>
      </w:r>
      <w:r>
        <w:t xml:space="preserve">is down</w:t>
      </w:r>
      <w:r>
        <w:t xml:space="preserve"> </w:t>
      </w:r>
      <w:r>
        <w:t xml:space="preserve">(never fail-open, §11.4.3/§11.4.68).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test:e2e</w:t>
      </w:r>
      <w:r>
        <w:t xml:space="preserve"> </w:t>
      </w:r>
      <w:r>
        <w:t xml:space="preserve">loads the real built extension via Playwright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launchPersistentContext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--load-extension</w:t>
      </w:r>
      <w:r>
        <w:t xml:space="preserve">, real id from the SW target).</w:t>
      </w:r>
      <w:r>
        <w:t xml:space="preserve"> </w:t>
      </w:r>
      <w:r>
        <w:t xml:space="preserve">The MV3-load e2e is</w:t>
      </w:r>
      <w:r>
        <w:t xml:space="preserve"> </w:t>
      </w:r>
      <w:r>
        <w:rPr>
          <w:b/>
          <w:bCs/>
        </w:rPr>
        <w:t xml:space="preserve">operator-gated SKIP</w:t>
      </w:r>
      <w:r>
        <w:t xml:space="preserve"> </w:t>
      </w:r>
      <w:r>
        <w:t xml:space="preserve">in a headless sandbox where</w:t>
      </w:r>
      <w:r>
        <w:t xml:space="preserve"> </w:t>
      </w:r>
      <w:r>
        <w:t xml:space="preserve">extension load is unsupported.</w:t>
      </w:r>
    </w:p>
    <w:p>
      <w:pPr>
        <w:pStyle w:val="Compact"/>
        <w:numPr>
          <w:ilvl w:val="0"/>
          <w:numId w:val="1003"/>
        </w:numPr>
      </w:pPr>
      <w:r>
        <w:t xml:space="preserve">Anti-bluff is the gate: each test asserts a user-observable outcome and must</w:t>
      </w:r>
      <w:r>
        <w:t xml:space="preserve"> </w:t>
      </w:r>
      <w:r>
        <w:t xml:space="preserve">fail against a no-op stub (</w:t>
      </w:r>
      <w:r>
        <w:rPr>
          <w:rStyle w:val="VerbatimChar"/>
        </w:rPr>
        <w:t xml:space="preserve">IMPLEMENTATION_PLAN.md</w:t>
      </w:r>
      <w:r>
        <w:t xml:space="preserve"> </w:t>
      </w:r>
      <w:r>
        <w:t xml:space="preserve">§0.2). Challenges under</w:t>
      </w:r>
      <w:r>
        <w:t xml:space="preserve"> </w:t>
      </w:r>
      <w:r>
        <w:rPr>
          <w:rStyle w:val="VerbatimChar"/>
        </w:rPr>
        <w:t xml:space="preserve">challenges/extension/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challenges/security/</w:t>
      </w:r>
      <w:r>
        <w:t xml:space="preserve"> </w:t>
      </w:r>
      <w:r>
        <w:t xml:space="preserve">drive the real</w:t>
      </w:r>
      <w:r>
        <w:t xml:space="preserve"> </w:t>
      </w:r>
      <w:r>
        <w:t xml:space="preserve">orchestrator/client/audit end-to-end and are mutation-verified.</w:t>
      </w:r>
    </w:p>
    <w:p>
      <w:pPr>
        <w:pStyle w:val="FirstParagraph"/>
      </w:pPr>
      <w:r>
        <w:t xml:space="preserve">Type + lint, run by</w:t>
      </w:r>
      <w:r>
        <w:t xml:space="preserve"> </w:t>
      </w:r>
      <w:r>
        <w:rPr>
          <w:rStyle w:val="VerbatimChar"/>
        </w:rPr>
        <w:t xml:space="preserve">ci-ext.sh</w:t>
      </w:r>
      <w:r>
        <w:t xml:space="preserve"> </w:t>
      </w:r>
      <w:r>
        <w:t xml:space="preserve">and individually: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compile         </w:t>
      </w:r>
      <w:r>
        <w:rPr>
          <w:rStyle w:val="CommentTok"/>
        </w:rPr>
        <w:t xml:space="preserve"># tsc --noEmit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lint            </w:t>
      </w:r>
      <w:r>
        <w:rPr>
          <w:rStyle w:val="CommentTok"/>
        </w:rPr>
        <w:t xml:space="preserve"># eslint src/ tests/ --ext .ts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format:check    </w:t>
      </w:r>
      <w:r>
        <w:rPr>
          <w:rStyle w:val="CommentTok"/>
        </w:rPr>
        <w:t xml:space="preserve"># prettier --check "src/**/*.ts"</w:t>
      </w:r>
    </w:p>
    <w:p>
      <w:r>
        <w:pict>
          <v:rect style="width:0;height:1.5pt" o:hralign="center" o:hrstd="t" o:hr="t"/>
        </w:pict>
      </w:r>
    </w:p>
    <w:bookmarkEnd w:id="12"/>
    <w:bookmarkStart w:id="13" w:name="X9e5f01adfd6c272dc04903cc679867ac7935cba"/>
    <w:p>
      <w:pPr>
        <w:pStyle w:val="Heading2"/>
      </w:pPr>
      <w:r>
        <w:t xml:space="preserve">Constitution constraints (read before contributing)</w:t>
      </w:r>
    </w:p>
    <w:p>
      <w:pPr>
        <w:pStyle w:val="FirstParagraph"/>
      </w:pPr>
      <w:r>
        <w:t xml:space="preserve">BobaLink inherits the Boba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constitution/</w:t>
      </w:r>
      <w:r>
        <w:t xml:space="preserve"> </w:t>
      </w:r>
      <w:r>
        <w:t xml:space="preserve">submodule. The</w:t>
      </w:r>
      <w:r>
        <w:t xml:space="preserve"> </w:t>
      </w:r>
      <w:r>
        <w:t xml:space="preserve">load-bearing rules for this subproject: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Anti-bluff (§11.4).</w:t>
      </w:r>
      <w:r>
        <w:t xml:space="preserve"> </w:t>
      </w:r>
      <w:r>
        <w:t xml:space="preserve">Every test/Challenge must prove the feature works for</w:t>
      </w:r>
      <w:r>
        <w:t xml:space="preserve"> </w:t>
      </w:r>
      <w:r>
        <w:t xml:space="preserve">the end user — assert user-observable outcomes (DB rows, response bodies, DOM</w:t>
      </w:r>
      <w:r>
        <w:t xml:space="preserve"> </w:t>
      </w:r>
      <w:r>
        <w:t xml:space="preserve">text), and each test must FAIL against a no-op stub. The reference suite’s 10</w:t>
      </w:r>
      <w:r>
        <w:t xml:space="preserve"> </w:t>
      </w:r>
      <w:r>
        <w:t xml:space="preserve">known bluffs are remediated, not adopted.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TDD (§11.4.43/§11.4.115).</w:t>
      </w:r>
      <w:r>
        <w:t xml:space="preserve"> </w:t>
      </w:r>
      <w:r>
        <w:t xml:space="preserve">Write the failing RED test first (reproducing the</w:t>
      </w:r>
      <w:r>
        <w:t xml:space="preserve"> </w:t>
      </w:r>
      <w:r>
        <w:t xml:space="preserve">real defect / driving the real feature), watch it fail, then write minimal code</w:t>
      </w:r>
      <w:r>
        <w:t xml:space="preserve"> </w:t>
      </w:r>
      <w:r>
        <w:t xml:space="preserve">to GREEN.</w:t>
      </w:r>
      <w:r>
        <w:t xml:space="preserve"> </w:t>
      </w:r>
      <w:r>
        <w:t xml:space="preserve">“Test added after the fix”</w:t>
      </w:r>
      <w:r>
        <w:t xml:space="preserve"> </w:t>
      </w:r>
      <w:r>
        <w:t xml:space="preserve">is a bluff.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CI/CD — ever (Hard Stop §1).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, no pipelines, no</w:t>
      </w:r>
      <w:r>
        <w:t xml:space="preserve"> </w:t>
      </w:r>
      <w:r>
        <w:t xml:space="preserve">git hooks. Validation is the manual</w:t>
      </w:r>
      <w:r>
        <w:t xml:space="preserve"> </w:t>
      </w:r>
      <w:r>
        <w:rPr>
          <w:rStyle w:val="VerbatimChar"/>
        </w:rPr>
        <w:t xml:space="preserve">extension/ci-ext.sh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force-push (§11.4.113); fetch-first (§11.4.71); SSH remotes only.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§11.4.10 credentials.</w:t>
      </w:r>
      <w:r>
        <w:t xml:space="preserve"> </w:t>
      </w:r>
      <w:r>
        <w:t xml:space="preserve">Delegate-by-default; no embedded/decryptable secret</w:t>
      </w:r>
      <w:r>
        <w:t xml:space="preserve"> </w:t>
      </w:r>
      <w:r>
        <w:t xml:space="preserve">by default; no fixed/empty-passphrase decrypt; no real credential in any</w:t>
      </w:r>
      <w:r>
        <w:t xml:space="preserve"> </w:t>
      </w:r>
      <w:r>
        <w:t xml:space="preserve">test/fixture/doc.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100% multi-type coverage (§11.4.27/§11.4.85).</w:t>
      </w:r>
      <w:r>
        <w:t xml:space="preserve"> </w:t>
      </w:r>
      <w:r>
        <w:t xml:space="preserve">unit/integration/e2e/security/</w:t>
      </w:r>
      <w:r>
        <w:t xml:space="preserve"> </w:t>
      </w:r>
      <w:r>
        <w:t xml:space="preserve">load/scaling/chaos/stress/performance/benchmark/UI/UX + Challenges + HelixQA.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Mandatory code review (§11.4.125/§11.4.134/§11.4.142)</w:t>
      </w:r>
      <w:r>
        <w:t xml:space="preserve"> </w:t>
      </w:r>
      <w:r>
        <w:t xml:space="preserve">of every change,</w:t>
      </w:r>
      <w:r>
        <w:t xml:space="preserve"> </w:t>
      </w:r>
      <w:r>
        <w:t xml:space="preserve">iterate-until-GO, before it is</w:t>
      </w:r>
      <w:r>
        <w:t xml:space="preserve"> </w:t>
      </w:r>
      <w:r>
        <w:t xml:space="preserve">“complete”</w:t>
      </w:r>
      <w:r>
        <w:t xml:space="preserve">.</w:t>
      </w:r>
    </w:p>
    <w:p>
      <w:pPr>
        <w:pStyle w:val="FirstParagraph"/>
      </w:pPr>
      <w:r>
        <w:t xml:space="preserve">The single real backend is the</w:t>
      </w:r>
      <w:r>
        <w:t xml:space="preserve"> </w:t>
      </w:r>
      <w:r>
        <w:rPr>
          <w:b/>
          <w:bCs/>
        </w:rPr>
        <w:t xml:space="preserve">Boba merge service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:7187</w:t>
      </w:r>
      <w:r>
        <w:t xml:space="preserve"> </w:t>
      </w:r>
      <w:r>
        <w:t xml:space="preserve">— never qBittorrent</w:t>
      </w:r>
      <w:r>
        <w:t xml:space="preserve"> </w:t>
      </w:r>
      <w:r>
        <w:t xml:space="preserve">directly, never port 8080 (the reference</w:t>
      </w:r>
      <w:r>
        <w:t xml:space="preserve"> </w:t>
      </w:r>
      <w:r>
        <w:rPr>
          <w:rStyle w:val="VerbatimChar"/>
        </w:rPr>
        <w:t xml:space="preserve">:8080</w:t>
      </w:r>
      <w:r>
        <w:t xml:space="preserve"> </w:t>
      </w:r>
      <w:r>
        <w:t xml:space="preserve">values were all retargeted to</w:t>
      </w:r>
      <w:r>
        <w:t xml:space="preserve"> </w:t>
      </w:r>
      <w:r>
        <w:rPr>
          <w:rStyle w:val="VerbatimChar"/>
        </w:rPr>
        <w:t xml:space="preserve">:7187</w:t>
      </w:r>
      <w:r>
        <w:t xml:space="preserve">; see</w:t>
      </w:r>
      <w:r>
        <w:t xml:space="preserve"> </w:t>
      </w:r>
      <w:r>
        <w:rPr>
          <w:rStyle w:val="VerbatimChar"/>
        </w:rPr>
        <w:t xml:space="preserve">src/shared/constants.ts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3"/>
    <w:bookmarkStart w:id="14" w:name="where-the-docs-status-ledger-live"/>
    <w:p>
      <w:pPr>
        <w:pStyle w:val="Heading2"/>
      </w:pPr>
      <w:r>
        <w:t xml:space="preserve">Where the docs / Status / ledger live</w:t>
      </w:r>
    </w:p>
    <w:p>
      <w:pPr>
        <w:pStyle w:val="FirstParagraph"/>
      </w:pPr>
      <w:r>
        <w:t xml:space="preserve">All under</w:t>
      </w:r>
      <w:r>
        <w:t xml:space="preserve"> </w:t>
      </w:r>
      <w:r>
        <w:rPr>
          <w:rStyle w:val="VerbatimChar"/>
        </w:rPr>
        <w:t xml:space="preserve">docs/browser_extension/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Status.md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/</w:t>
      </w:r>
      <w:r>
        <w:rPr>
          <w:rStyle w:val="VerbatimChar"/>
        </w:rPr>
        <w:t xml:space="preserve">.pdf</w:t>
      </w:r>
      <w:r>
        <w:t xml:space="preserve">) — the authoritative per-phase status</w:t>
      </w:r>
      <w:r>
        <w:t xml:space="preserve"> </w:t>
      </w:r>
      <w:r>
        <w:t xml:space="preserve">(Rev 4 is the real state).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Status_Summary.md</w:t>
      </w:r>
      <w:r>
        <w:t xml:space="preserve"> </w:t>
      </w:r>
      <w:r>
        <w:t xml:space="preserve">(+ siblings) — the two-audience summary companion.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IMPLEMENTATION_PLAN.md</w:t>
      </w:r>
      <w:r>
        <w:t xml:space="preserve"> </w:t>
      </w:r>
      <w:r>
        <w:t xml:space="preserve">(+ siblings) — the 9-phase master plan with the</w:t>
      </w:r>
      <w:r>
        <w:t xml:space="preserve"> </w:t>
      </w:r>
      <w:r>
        <w:t xml:space="preserve">hard constraints, backend additions (BE-1/2/3), and adopt/refactor/rewrite map.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coverage_ledger.md</w:t>
      </w:r>
      <w:r>
        <w:t xml:space="preserve"> </w:t>
      </w:r>
      <w:r>
        <w:t xml:space="preserve">(+ siblings) — the feature × test-type coverage ledger.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USER_GUIDE.md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INSTALL.md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DEVELOPMENT.md</w:t>
      </w:r>
      <w:r>
        <w:t xml:space="preserve"> </w:t>
      </w:r>
      <w:r>
        <w:t xml:space="preserve">(this file) — the</w:t>
      </w:r>
      <w:r>
        <w:t xml:space="preserve"> </w:t>
      </w:r>
      <w:r>
        <w:t xml:space="preserve">Phase-9 user/install/dev docs (+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/</w:t>
      </w:r>
      <w:r>
        <w:rPr>
          <w:rStyle w:val="VerbatimChar"/>
        </w:rPr>
        <w:t xml:space="preserve">.pdf</w:t>
      </w:r>
      <w:r>
        <w:t xml:space="preserve"> </w:t>
      </w:r>
      <w:r>
        <w:t xml:space="preserve">siblings per §11.4.65).</w:t>
      </w:r>
    </w:p>
    <w:p>
      <w:pPr>
        <w:pStyle w:val="Compact"/>
        <w:numPr>
          <w:ilvl w:val="0"/>
          <w:numId w:val="1005"/>
        </w:numPr>
      </w:pPr>
      <w:r>
        <w:t xml:space="preserve">Deeper provenance:</w:t>
      </w:r>
      <w:r>
        <w:t xml:space="preserve"> </w:t>
      </w:r>
      <w:r>
        <w:rPr>
          <w:rStyle w:val="VerbatimChar"/>
        </w:rPr>
        <w:t xml:space="preserve">docs/browser_extension/_analysis/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_plan/</w:t>
      </w:r>
      <w:r>
        <w:t xml:space="preserve">.</w:t>
      </w:r>
    </w:p>
    <w:p>
      <w:pPr>
        <w:pStyle w:val="FirstParagraph"/>
      </w:pPr>
      <w:r>
        <w:t xml:space="preserve">The script companion for the gate is</w:t>
      </w:r>
      <w:r>
        <w:t xml:space="preserve"> </w:t>
      </w:r>
      <w:r>
        <w:rPr>
          <w:rStyle w:val="VerbatimChar"/>
        </w:rPr>
        <w:t xml:space="preserve">docs/scripts/ci-ext.md</w:t>
      </w:r>
      <w:r>
        <w:t xml:space="preserve"> </w:t>
      </w:r>
      <w:r>
        <w:t xml:space="preserve">(§11.4.18).</w:t>
      </w:r>
      <w:r>
        <w:t xml:space="preserve"> </w:t>
      </w:r>
      <w:r>
        <w:t xml:space="preserve">HelixQA banks:</w:t>
      </w:r>
      <w:r>
        <w:t xml:space="preserve"> </w:t>
      </w:r>
      <w:r>
        <w:rPr>
          <w:rStyle w:val="VerbatimChar"/>
        </w:rPr>
        <w:t xml:space="preserve">submodules/helixqa/banks/boba-bobalink.yaml</w:t>
      </w:r>
      <w:r>
        <w:t xml:space="preserve"> </w:t>
      </w:r>
      <w:r>
        <w:t xml:space="preserve">(symlinked into</w:t>
      </w:r>
      <w:r>
        <w:t xml:space="preserve"> </w:t>
      </w:r>
      <w:r>
        <w:rPr>
          <w:rStyle w:val="VerbatimChar"/>
        </w:rPr>
        <w:t xml:space="preserve">challenges/helixqa-banks/</w:t>
      </w:r>
      <w:r>
        <w:t xml:space="preserve">).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2026-09-01T16:28:35Z</dcterms:created>
  <dcterms:modified xsi:type="dcterms:W3CDTF">2026-09-01T16:28:35Z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