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11a11f26753e939832e1f04ae19320ac16bad8f"/>
    <w:p>
      <w:pPr>
        <w:pStyle w:val="Heading1"/>
      </w:pPr>
      <w:r>
        <w:t xml:space="preserve">Incident 2026-09-22 — Auto-commit epoch-ms producer identified (BOB-068 follow-up)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2026-09-22T09:52:00Z</w:t>
      </w:r>
      <w:r>
        <w:t xml:space="preserve"> </w:t>
      </w:r>
      <w:r>
        <w:rPr>
          <w:b/>
          <w:bCs/>
        </w:rPr>
        <w:t xml:space="preserve">Reporter:</w:t>
      </w:r>
      <w:r>
        <w:t xml:space="preserve"> </w:t>
      </w:r>
      <w:r>
        <w:t xml:space="preserve">conductor (qBittorrent-login-repair verification wave, review #9)</w:t>
      </w:r>
      <w:r>
        <w:t xml:space="preserve"> </w:t>
      </w:r>
      <w:r>
        <w:rPr>
          <w:b/>
          <w:bCs/>
        </w:rPr>
        <w:t xml:space="preserve">Session-under-investigation:</w:t>
      </w:r>
      <w:r>
        <w:t xml:space="preserve"> </w:t>
      </w:r>
      <w:r>
        <w:t xml:space="preserve">this session, 2026-09-19T17:57:24Z (commit</w:t>
      </w:r>
      <w:r>
        <w:t xml:space="preserve"> </w:t>
      </w:r>
      <w:r>
        <w:rPr>
          <w:rStyle w:val="VerbatimChar"/>
        </w:rPr>
        <w:t xml:space="preserve">d768373</w:t>
      </w:r>
      <w:r>
        <w:t xml:space="preserve">)</w:t>
      </w:r>
      <w:r>
        <w:t xml:space="preserve"> </w:t>
      </w:r>
      <w:r>
        <w:rPr>
          <w:b/>
          <w:bCs/>
        </w:rPr>
        <w:t xml:space="preserve">Investigator:</w:t>
      </w:r>
      <w:r>
        <w:t xml:space="preserve"> </w:t>
      </w:r>
      <w:r>
        <w:t xml:space="preserve">independent Fable review subagent, task 9 (</w:t>
      </w:r>
      <w:r>
        <w:t xml:space="preserve">“Review the unreviewed auto-commit”</w:t>
      </w:r>
      <w:r>
        <w:t xml:space="preserve">)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unreviewed-commit bypass (§11.4.142 universal-code-review gap) + gate-detection gap (§11.4.201(6) false-null in</w:t>
      </w:r>
      <w:r>
        <w:t xml:space="preserve"> </w:t>
      </w:r>
      <w:r>
        <w:rPr>
          <w:rStyle w:val="VerbatimChar"/>
        </w:rPr>
        <w:t xml:space="preserve">unattributed-commit-guard.sh</w:t>
      </w:r>
      <w:r>
        <w:t xml:space="preserve">)</w:t>
      </w:r>
      <w:r>
        <w:t xml:space="preserve"> </w:t>
      </w:r>
      <w:r>
        <w:rPr>
          <w:b/>
          <w:bCs/>
        </w:rPr>
        <w:t xml:space="preserve">Terminal state:</w:t>
      </w:r>
      <w:r>
        <w:t xml:space="preserve"> </w:t>
      </w:r>
      <w:r>
        <w:t xml:space="preserve">PRODUCER IDENTIFIED, GATE FIXED, EXTERNAL TOOL NOT MODIFIED (out of this repo’s scope)</w:t>
      </w:r>
      <w:r>
        <w:t xml:space="preserve"> </w:t>
      </w:r>
      <w:r>
        <w:rPr>
          <w:b/>
          <w:bCs/>
        </w:rPr>
        <w:t xml:space="preserve">Related:</w:t>
      </w:r>
      <w:r>
        <w:t xml:space="preserve"> </w:t>
      </w:r>
      <w:r>
        <w:rPr>
          <w:rStyle w:val="VerbatimChar"/>
        </w:rPr>
        <w:t xml:space="preserve">docs/incidents/2026-08-18-auto-committer-BOB-068-investigation.md</w:t>
      </w:r>
      <w:r>
        <w:t xml:space="preserve"> </w:t>
      </w:r>
      <w:r>
        <w:t xml:space="preserve">(established there was no daemon; this incident identifies the actual human-invoked producer BOB-068’s investigation left open)</w:t>
      </w:r>
    </w:p>
    <w:bookmarkStart w:id="9" w:name="what-happened"/>
    <w:p>
      <w:pPr>
        <w:pStyle w:val="Heading2"/>
      </w:pPr>
      <w:r>
        <w:t xml:space="preserve">1. What happened</w:t>
      </w:r>
    </w:p>
    <w:p>
      <w:pPr>
        <w:pStyle w:val="FirstParagraph"/>
      </w:pPr>
      <w:r>
        <w:t xml:space="preserve">Commit</w:t>
      </w:r>
      <w:r>
        <w:t xml:space="preserve"> </w:t>
      </w:r>
      <w:r>
        <w:rPr>
          <w:rStyle w:val="VerbatimChar"/>
        </w:rPr>
        <w:t xml:space="preserve">d768373</w:t>
      </w:r>
      <w:r>
        <w:t xml:space="preserve"> </w:t>
      </w:r>
      <w:r>
        <w:t xml:space="preserve">(</w:t>
      </w:r>
      <w:r>
        <w:t xml:space="preserve">“Auto-commit 1789833444209”</w:t>
      </w:r>
      <w:r>
        <w:t xml:space="preserve">, parent</w:t>
      </w:r>
      <w:r>
        <w:t xml:space="preserve"> </w:t>
      </w:r>
      <w:r>
        <w:rPr>
          <w:rStyle w:val="VerbatimChar"/>
        </w:rPr>
        <w:t xml:space="preserve">deed8bf</w:t>
      </w:r>
      <w:r>
        <w:t xml:space="preserve">) landed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</w:t>
      </w:r>
      <w:r>
        <w:t xml:space="preserve"> </w:t>
      </w:r>
      <w:r>
        <w:t xml:space="preserve">was pushed to three remotes (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upstream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) without passing through</w:t>
      </w:r>
      <w:r>
        <w:t xml:space="preserve"> </w:t>
      </w:r>
      <w:r>
        <w:t xml:space="preserve">this project’s own review/commit discipline (§11.4.142, §11.4.234). It mixed six</w:t>
      </w:r>
      <w:r>
        <w:t xml:space="preserve"> </w:t>
      </w:r>
      <w:r>
        <w:t xml:space="preserve">genuine, already-validated fixes from this session with one half-finished, unverified</w:t>
      </w:r>
      <w:r>
        <w:t xml:space="preserve"> </w:t>
      </w:r>
      <w:r>
        <w:t xml:space="preserve">edit (</w:t>
      </w:r>
      <w:r>
        <w:rPr>
          <w:rStyle w:val="VerbatimChar"/>
        </w:rPr>
        <w:t xml:space="preserve">tests/unit/test_no_runtime_service_skips.py</w:t>
      </w:r>
      <w:r>
        <w:t xml:space="preserve">, later found RED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 and</w:t>
      </w:r>
      <w:r>
        <w:t xml:space="preserve"> </w:t>
      </w:r>
      <w:r>
        <w:t xml:space="preserve">silently overwrote committed BOB-095 closure evidence for the fifth time. Full findings</w:t>
      </w:r>
      <w:r>
        <w:t xml:space="preserve"> </w:t>
      </w:r>
      <w:r>
        <w:t xml:space="preserve">are in the review transcript; this record is scoped to</w:t>
      </w:r>
      <w:r>
        <w:t xml:space="preserve"> </w:t>
      </w:r>
      <w:r>
        <w:rPr>
          <w:b/>
          <w:bCs/>
        </w:rPr>
        <w:t xml:space="preserve">how the commit reached three</w:t>
      </w:r>
      <w:r>
        <w:rPr>
          <w:b/>
          <w:bCs/>
        </w:rPr>
        <w:t xml:space="preserve"> </w:t>
      </w:r>
      <w:r>
        <w:rPr>
          <w:b/>
          <w:bCs/>
        </w:rPr>
        <w:t xml:space="preserve">remotes with nothing able to refuse it</w:t>
      </w:r>
      <w:r>
        <w:t xml:space="preserve">, per the review’s IMPORTANT-5 finding.</w:t>
      </w:r>
    </w:p>
    <w:bookmarkEnd w:id="9"/>
    <w:bookmarkStart w:id="10" w:name="the-producer-identified"/>
    <w:p>
      <w:pPr>
        <w:pStyle w:val="Heading2"/>
      </w:pPr>
      <w:r>
        <w:t xml:space="preserve">2. The producer, identified</w:t>
      </w:r>
    </w:p>
    <w:p>
      <w:pPr>
        <w:pStyle w:val="FirstParagraph"/>
      </w:pPr>
      <w:r>
        <w:rPr>
          <w:rStyle w:val="VerbatimChar"/>
        </w:rPr>
        <w:t xml:space="preserve">~/Projects/project_toolkit/Software-Toolkit/Utils/Git/commit.sh:17-27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SESSION=$(($(date +%s%N)/1000000))</w:t>
      </w:r>
      <w:r>
        <w:br/>
      </w:r>
      <w:r>
        <w:rPr>
          <w:rStyle w:val="VerbatimChar"/>
        </w:rPr>
        <w:t xml:space="preserve">MESSAGE="Auto-commit $SESSION"</w:t>
      </w:r>
      <w:r>
        <w:br/>
      </w: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git commit -m "$MESSAGE"</w:t>
      </w:r>
    </w:p>
    <w:p>
      <w:pPr>
        <w:pStyle w:val="FirstParagraph"/>
      </w:pPr>
      <w:r>
        <w:t xml:space="preserve">followed by a push. This script is reachable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as the bare commands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cmt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project_toolkit/Upstreamable/commit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helix_code/cmt</w:t>
      </w:r>
      <w:r>
        <w:t xml:space="preserve">). It is a</w:t>
      </w:r>
      <w:r>
        <w:t xml:space="preserve"> </w:t>
      </w:r>
      <w:r>
        <w:rPr>
          <w:b/>
          <w:bCs/>
        </w:rPr>
        <w:t xml:space="preserve">generic, cross-project</w:t>
      </w:r>
      <w:r>
        <w:t xml:space="preserve"> </w:t>
      </w:r>
      <w:r>
        <w:t xml:space="preserve">convenience wrapper — it has no knowledge of this repo’s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 </w:t>
      </w:r>
      <w:r>
        <w:t xml:space="preserve">mandate (§11.4.234), runs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 </w:t>
      </w:r>
      <w:r>
        <w:t xml:space="preserve">unconditionally,</w:t>
      </w:r>
      <w:r>
        <w:t xml:space="preserve"> </w:t>
      </w:r>
      <w:r>
        <w:t xml:space="preserve">and stages/commits/pushes whatever the current working tree happens to hold.</w:t>
      </w:r>
    </w:p>
    <w:bookmarkEnd w:id="10"/>
    <w:bookmarkStart w:id="11" w:name="Xb8fac02278578bbe17e97044e3a3257ed497999"/>
    <w:p>
      <w:pPr>
        <w:pStyle w:val="Heading2"/>
      </w:pPr>
      <w:r>
        <w:t xml:space="preserve">3. Provenance — not a daemon, an interactive invocation</w:t>
      </w:r>
    </w:p>
    <w:p>
      <w:pPr>
        <w:pStyle w:val="Compact"/>
        <w:numPr>
          <w:ilvl w:val="0"/>
          <w:numId w:val="1001"/>
        </w:numPr>
      </w:pPr>
      <w:r>
        <w:t xml:space="preserve">Local HEAD reflog:</w:t>
      </w:r>
      <w:r>
        <w:t xml:space="preserve"> </w:t>
      </w:r>
      <w:r>
        <w:rPr>
          <w:rStyle w:val="VerbatimChar"/>
        </w:rPr>
        <w:t xml:space="preserve">commit: Auto-commit 1789833444209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2026-09-19T17:57:24+02:00</w:t>
      </w:r>
      <w:r>
        <w:t xml:space="preserve">,</w:t>
      </w:r>
      <w:r>
        <w:t xml:space="preserve"> </w:t>
      </w:r>
      <w:r>
        <w:t xml:space="preserve">created in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checkout.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github/main</w:t>
      </w:r>
      <w:r>
        <w:t xml:space="preserve"> </w:t>
      </w:r>
      <w:r>
        <w:t xml:space="preserve">“update by push”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17:57:27</w:t>
      </w:r>
      <w:r>
        <w:t xml:space="preserve">;</w:t>
      </w:r>
      <w:r>
        <w:t xml:space="preserve"> </w:t>
      </w:r>
      <w:r>
        <w:rPr>
          <w:rStyle w:val="VerbatimChar"/>
        </w:rPr>
        <w:t xml:space="preserve">upstream/main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17:57:29</w:t>
      </w:r>
      <w:r>
        <w:t xml:space="preserve">;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fast-forward fetch at</w:t>
      </w:r>
      <w:r>
        <w:t xml:space="preserve"> </w:t>
      </w:r>
      <w:r>
        <w:rPr>
          <w:rStyle w:val="VerbatimChar"/>
        </w:rPr>
        <w:t xml:space="preserve">17:59:10</w:t>
      </w:r>
      <w:r>
        <w:t xml:space="preserve"> </w:t>
      </w:r>
      <w:r>
        <w:t xml:space="preserve">— all three remotes updated within</w:t>
      </w:r>
      <w:r>
        <w:t xml:space="preserve"> </w:t>
      </w:r>
      <w:r>
        <w:t xml:space="preserve">~2 minutes of the local commit, consistent with the same push reaching each</w:t>
      </w:r>
      <w:r>
        <w:t xml:space="preserve"> </w:t>
      </w:r>
      <w:r>
        <w:t xml:space="preserve">configured remote in sequence, not a separate daemon per remote.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journalctl</w:t>
      </w:r>
      <w:r>
        <w:t xml:space="preserve">: an interactive SSH session for</w:t>
      </w:r>
      <w:r>
        <w:t xml:space="preserve"> </w:t>
      </w:r>
      <w:r>
        <w:rPr>
          <w:rStyle w:val="VerbatimChar"/>
        </w:rPr>
        <w:t xml:space="preserve">milosvasic</w:t>
      </w:r>
      <w:r>
        <w:t xml:space="preserve"> </w:t>
      </w:r>
      <w:r>
        <w:t xml:space="preserve">from a LAN host</w:t>
      </w:r>
      <w:r>
        <w:t xml:space="preserve"> </w:t>
      </w:r>
      <w:r>
        <w:t xml:space="preserve">(</w:t>
      </w:r>
      <w:r>
        <w:rPr>
          <w:rStyle w:val="VerbatimChar"/>
        </w:rPr>
        <w:t xml:space="preserve">fe80::8817:71ff:fe60:49c9%enp5s0</w:t>
      </w:r>
      <w:r>
        <w:t xml:space="preserve">) opened</w:t>
      </w:r>
      <w:r>
        <w:t xml:space="preserve"> </w:t>
      </w:r>
      <w:r>
        <w:rPr>
          <w:rStyle w:val="VerbatimChar"/>
        </w:rPr>
        <w:t xml:space="preserve">15:19:52</w:t>
      </w:r>
      <w:r>
        <w:t xml:space="preserve">, disconnected</w:t>
      </w:r>
      <w:r>
        <w:t xml:space="preserve"> </w:t>
      </w:r>
      <w:r>
        <w:rPr>
          <w:rStyle w:val="VerbatimChar"/>
        </w:rPr>
        <w:t xml:space="preserve">17:58:18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54</w:t>
      </w:r>
      <w:r>
        <w:rPr>
          <w:b/>
          <w:bCs/>
        </w:rPr>
        <w:t xml:space="preserve"> </w:t>
      </w:r>
      <w:r>
        <w:rPr>
          <w:b/>
          <w:bCs/>
        </w:rPr>
        <w:t xml:space="preserve">seconds after the push landed</w:t>
      </w:r>
      <w:r>
        <w:t xml:space="preserve">. This is consistent with an operator-driven shell</w:t>
      </w:r>
      <w:r>
        <w:t xml:space="preserve"> </w:t>
      </w:r>
      <w:r>
        <w:t xml:space="preserve">session, not a background timer or daemon (BOB-068’s original investigation already</w:t>
      </w:r>
      <w:r>
        <w:t xml:space="preserve"> </w:t>
      </w:r>
      <w:r>
        <w:t xml:space="preserve">ruled out a daemon; this confirms it for this specific instance).</w:t>
      </w:r>
    </w:p>
    <w:p>
      <w:pPr>
        <w:pStyle w:val="Compact"/>
        <w:numPr>
          <w:ilvl w:val="0"/>
          <w:numId w:val="1001"/>
        </w:numPr>
      </w:pPr>
      <w:r>
        <w:t xml:space="preserve">The same script produced a sibling commit in a different checkout</w:t>
      </w:r>
      <w:r>
        <w:t xml:space="preserve"> </w:t>
      </w:r>
      <w:r>
        <w:t xml:space="preserve">(</w:t>
      </w:r>
      <w:r>
        <w:rPr>
          <w:rStyle w:val="VerbatimChar"/>
        </w:rPr>
        <w:t xml:space="preserve">~/Projects/vasic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7ee369d</w:t>
      </w:r>
      <w:r>
        <w:t xml:space="preserve">,</w:t>
      </w:r>
      <w:r>
        <w:t xml:space="preserve"> </w:t>
      </w:r>
      <w:r>
        <w:t xml:space="preserve">“Auto-commit 1789823284278”</w:t>
      </w:r>
      <w:r>
        <w:t xml:space="preserve">) at</w:t>
      </w:r>
      <w:r>
        <w:t xml:space="preserve"> </w:t>
      </w:r>
      <w:r>
        <w:rPr>
          <w:rStyle w:val="VerbatimChar"/>
        </w:rPr>
        <w:t xml:space="preserve">15:08:05</w:t>
      </w:r>
      <w:r>
        <w:t xml:space="preserve">,</w:t>
      </w:r>
      <w:r>
        <w:t xml:space="preserve"> </w:t>
      </w:r>
      <w:r>
        <w:t xml:space="preserve">inside the same SSH session window — i.e. the operator (or an agent acting in an</w:t>
      </w:r>
      <w:r>
        <w:t xml:space="preserve"> </w:t>
      </w:r>
      <w:r>
        <w:t xml:space="preserve">interactive shell on the operator’s behalf) ran the generic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/</w:t>
      </w:r>
      <w:r>
        <w:rPr>
          <w:rStyle w:val="VerbatimChar"/>
        </w:rPr>
        <w:t xml:space="preserve">cmt</w:t>
      </w:r>
      <w:r>
        <w:t xml:space="preserve"> </w:t>
      </w:r>
      <w:r>
        <w:t xml:space="preserve">shorthand</w:t>
      </w:r>
      <w:r>
        <w:t xml:space="preserve"> </w:t>
      </w:r>
      <w:r>
        <w:t xml:space="preserve">across multiple project checkouts in one sitting, and this repo was one of them.</w:t>
      </w:r>
    </w:p>
    <w:p>
      <w:pPr>
        <w:pStyle w:val="FirstParagraph"/>
      </w:pPr>
      <w:r>
        <w:rPr>
          <w:b/>
          <w:bCs/>
        </w:rPr>
        <w:t xml:space="preserve">Verdict:</w:t>
      </w:r>
      <w:r>
        <w:t xml:space="preserve"> </w:t>
      </w:r>
      <w:r>
        <w:t xml:space="preserve">this is the identified producer BOB-068’s Phase-1 investigation left open</w:t>
      </w:r>
      <w:r>
        <w:t xml:space="preserve"> </w:t>
      </w:r>
      <w:r>
        <w:t xml:space="preserve">as</w:t>
      </w:r>
      <w:r>
        <w:t xml:space="preserve"> </w:t>
      </w:r>
      <w:r>
        <w:t xml:space="preserve">“not a daemon, race condition or operator-shell toolkit sweep”</w:t>
      </w:r>
      <w:r>
        <w:t xml:space="preserve"> </w:t>
      </w:r>
      <w:r>
        <w:t xml:space="preserve">— resolved here to</w:t>
      </w:r>
      <w:r>
        <w:t xml:space="preserve"> </w:t>
      </w:r>
      <w:r>
        <w:t xml:space="preserve">the latter: an operator-shell invocation of a cross-project generic tool, not a race</w:t>
      </w:r>
      <w:r>
        <w:t xml:space="preserve"> </w:t>
      </w:r>
      <w:r>
        <w:t xml:space="preserve">condition and not a background process.</w:t>
      </w:r>
    </w:p>
    <w:bookmarkEnd w:id="11"/>
    <w:bookmarkStart w:id="12" w:name="why-nothing-refused-it"/>
    <w:p>
      <w:pPr>
        <w:pStyle w:val="Heading2"/>
      </w:pPr>
      <w:r>
        <w:t xml:space="preserve">4. Why nothing refused it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core.hooksPath</w:t>
      </w:r>
      <w:r>
        <w:t xml:space="preserve"> </w:t>
      </w:r>
      <w:r>
        <w:t xml:space="preserve">is unset in this checkout;</w:t>
      </w:r>
      <w:r>
        <w:t xml:space="preserve"> </w:t>
      </w:r>
      <w:r>
        <w:rPr>
          <w:rStyle w:val="VerbatimChar"/>
        </w:rPr>
        <w:t xml:space="preserve">.git/hooks/</w:t>
      </w:r>
      <w:r>
        <w:t xml:space="preserve"> </w:t>
      </w:r>
      <w:r>
        <w:t xml:space="preserve">is empty. No git hook</w:t>
      </w:r>
      <w:r>
        <w:t xml:space="preserve"> </w:t>
      </w:r>
      <w:r>
        <w:t xml:space="preserve">could have intercepted the commit or the push (§11.4.234’s mandate — hooks never</w:t>
      </w:r>
      <w:r>
        <w:t xml:space="preserve"> </w:t>
      </w:r>
      <w:r>
        <w:t xml:space="preserve">gate routine commit/push — was already satisfied here, just not in the direction</w:t>
      </w:r>
      <w:r>
        <w:t xml:space="preserve"> </w:t>
      </w:r>
      <w:r>
        <w:t xml:space="preserve">that would have caught this).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scripts/hooks/unattributed-commit-guard.sh</w:t>
      </w:r>
      <w:r>
        <w:t xml:space="preserve"> </w:t>
      </w:r>
      <w:r>
        <w:t xml:space="preserve">exists and is designed to catch exactly</w:t>
      </w:r>
      <w:r>
        <w:t xml:space="preserve"> </w:t>
      </w:r>
      <w:r>
        <w:t xml:space="preserve">this shape (</w:t>
      </w:r>
      <w:r>
        <w:rPr>
          <w:rStyle w:val="VerbatimChar"/>
        </w:rPr>
        <w:t xml:space="preserve">^Auto-commit$</w:t>
      </w:r>
      <w:r>
        <w:t xml:space="preserve"> </w:t>
      </w:r>
      <w:r>
        <w:t xml:space="preserve">plus similar templated patterns), but its pattern set</w:t>
      </w:r>
      <w:r>
        <w:t xml:space="preserve"> </w:t>
      </w:r>
      <w:r>
        <w:t xml:space="preserve">did not include the epoch-millisecond-suffixed variant this script actually emits.</w:t>
      </w:r>
      <w:r>
        <w:t xml:space="preserve"> </w:t>
      </w:r>
      <w:r>
        <w:t xml:space="preserve">Confirmed by direct RED/GREEN reproduction (§5).</w:t>
      </w:r>
    </w:p>
    <w:p>
      <w:pPr>
        <w:pStyle w:val="Compact"/>
        <w:numPr>
          <w:ilvl w:val="0"/>
          <w:numId w:val="1002"/>
        </w:numPr>
      </w:pPr>
      <w:r>
        <w:t xml:space="preserve">This guard is not itself wired into any automatic commit-time hook (consistent with</w:t>
      </w:r>
      <w:r>
        <w:t xml:space="preserve"> </w:t>
      </w:r>
      <w:r>
        <w:t xml:space="preserve">§11.4.234 — it is meant to run as an explicit stage of the sanctioned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 </w:t>
      </w:r>
      <w:r>
        <w:t xml:space="preserve">wrapper), so even a correct pattern would only have</w:t>
      </w:r>
      <w:r>
        <w:t xml:space="preserve"> </w:t>
      </w:r>
      <w:r>
        <w:t xml:space="preserve">caught this</w:t>
      </w:r>
      <w:r>
        <w:t xml:space="preserve"> </w:t>
      </w:r>
      <w:r>
        <w:rPr>
          <w:b/>
          <w:bCs/>
        </w:rPr>
        <w:t xml:space="preserve">retroactively</w:t>
      </w:r>
      <w:r>
        <w:t xml:space="preserve">, on a subsequent sweep — not prevented the push.</w:t>
      </w:r>
    </w:p>
    <w:bookmarkEnd w:id="12"/>
    <w:bookmarkStart w:id="13" w:name="fix-applied-this-repo-only"/>
    <w:p>
      <w:pPr>
        <w:pStyle w:val="Heading2"/>
      </w:pPr>
      <w:r>
        <w:t xml:space="preserve">5. Fix applied (this repo only)</w:t>
      </w:r>
    </w:p>
    <w:p>
      <w:pPr>
        <w:pStyle w:val="FirstParagraph"/>
      </w:pPr>
      <w:r>
        <w:rPr>
          <w:rStyle w:val="VerbatimChar"/>
        </w:rPr>
        <w:t xml:space="preserve">scripts/hooks/unattributed-commit-guard.sh</w:t>
      </w:r>
      <w:r>
        <w:t xml:space="preserve">: added</w:t>
      </w:r>
      <w:r>
        <w:t xml:space="preserve"> </w:t>
      </w:r>
      <w:r>
        <w:rPr>
          <w:rStyle w:val="VerbatimChar"/>
        </w:rPr>
        <w:t xml:space="preserve">'^Auto-commit [0-9]+$'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BARE_PATTERNS</w:t>
      </w:r>
      <w:r>
        <w:t xml:space="preserve">, alongside the pre-existing</w:t>
      </w:r>
      <w:r>
        <w:t xml:space="preserve"> </w:t>
      </w:r>
      <w:r>
        <w:rPr>
          <w:rStyle w:val="VerbatimChar"/>
        </w:rPr>
        <w:t xml:space="preserve">'^Auto-commit$'</w:t>
      </w:r>
      <w:r>
        <w:t xml:space="preserve">.</w:t>
      </w:r>
    </w:p>
    <w:p>
      <w:pPr>
        <w:pStyle w:val="BodyText"/>
      </w:pPr>
      <w:r>
        <w:t xml:space="preserve">RED (before):</w:t>
      </w:r>
      <w:r>
        <w:t xml:space="preserve"> </w:t>
      </w:r>
      <w:r>
        <w:rPr>
          <w:rStyle w:val="VerbatimChar"/>
        </w:rPr>
        <w:t xml:space="preserve">--range deed8bf..d768373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OK — no unattributed bare/templated commit</w:t>
      </w:r>
      <w:r>
        <w:t xml:space="preserve"> </w:t>
      </w:r>
      <w:r>
        <w:t xml:space="preserve">(rc=0) — confirmed miss.</w:t>
      </w:r>
      <w:r>
        <w:t xml:space="preserve"> </w:t>
      </w:r>
      <w:r>
        <w:t xml:space="preserve">Control needle:</w:t>
      </w:r>
      <w:r>
        <w:t xml:space="preserve"> </w:t>
      </w:r>
      <w:r>
        <w:rPr>
          <w:rStyle w:val="VerbatimChar"/>
        </w:rPr>
        <w:t xml:space="preserve">--range 0e61779~1..0e61779</w:t>
      </w:r>
      <w:r>
        <w:t xml:space="preserve"> </w:t>
      </w:r>
      <w:r>
        <w:t xml:space="preserve">(the original bare-shape commit) → fires,</w:t>
      </w:r>
      <w:r>
        <w:t xml:space="preserve"> </w:t>
      </w:r>
      <w:r>
        <w:t xml:space="preserve">rc=1 — proved the instrument was not blind, only under-matched.</w:t>
      </w:r>
    </w:p>
    <w:p>
      <w:pPr>
        <w:pStyle w:val="BodyText"/>
      </w:pPr>
      <w:r>
        <w:t xml:space="preserve">GREEN (after):</w:t>
      </w:r>
      <w:r>
        <w:t xml:space="preserve"> </w:t>
      </w:r>
      <w:r>
        <w:rPr>
          <w:rStyle w:val="VerbatimChar"/>
        </w:rPr>
        <w:t xml:space="preserve">--range deed8bf..d768373</w:t>
      </w:r>
      <w:r>
        <w:t xml:space="preserve"> </w:t>
      </w:r>
      <w:r>
        <w:t xml:space="preserve">→ fires, names</w:t>
      </w:r>
      <w:r>
        <w:t xml:space="preserve"> </w:t>
      </w:r>
      <w:r>
        <w:rPr>
          <w:rStyle w:val="VerbatimChar"/>
        </w:rPr>
        <w:t xml:space="preserve">d768373</w:t>
      </w:r>
      <w:r>
        <w:t xml:space="preserve"> </w:t>
      </w:r>
      <w:r>
        <w:t xml:space="preserve">by hash and</w:t>
      </w:r>
      <w:r>
        <w:t xml:space="preserve"> </w:t>
      </w:r>
      <w:r>
        <w:t xml:space="preserve">subject, rc=1. Both control needles re-run and hold: the original bare shape still</w:t>
      </w:r>
      <w:r>
        <w:t xml:space="preserve"> </w:t>
      </w:r>
      <w:r>
        <w:t xml:space="preserve">fires; a genuinely attributed commit (</w:t>
      </w:r>
      <w:r>
        <w:rPr>
          <w:rStyle w:val="VerbatimChar"/>
        </w:rPr>
        <w:t xml:space="preserve">deed8bf</w:t>
      </w:r>
      <w:r>
        <w:t xml:space="preserve"> </w:t>
      </w:r>
      <w:r>
        <w:t xml:space="preserve">itself) still does not fire. The</w:t>
      </w:r>
      <w:r>
        <w:t xml:space="preserve"> </w:t>
      </w:r>
      <w:r>
        <w:t xml:space="preserve">script’s own</w:t>
      </w:r>
      <w:r>
        <w:t xml:space="preserve"> </w:t>
      </w:r>
      <w:r>
        <w:rPr>
          <w:rStyle w:val="VerbatimChar"/>
        </w:rPr>
        <w:t xml:space="preserve">--self-test</w:t>
      </w:r>
      <w:r>
        <w:t xml:space="preserve"> </w:t>
      </w:r>
      <w:r>
        <w:t xml:space="preserve">(golden-good/golden-bad/false-positive oracle) still</w:t>
      </w:r>
      <w:r>
        <w:t xml:space="preserve"> </w:t>
      </w:r>
      <w:r>
        <w:t xml:space="preserve">passes after the change.</w:t>
      </w:r>
    </w:p>
    <w:bookmarkEnd w:id="13"/>
    <w:bookmarkStart w:id="14" w:name="what-was-deliberately-not-done"/>
    <w:p>
      <w:pPr>
        <w:pStyle w:val="Heading2"/>
      </w:pPr>
      <w:r>
        <w:t xml:space="preserve">6. What was deliberately NOT done</w:t>
      </w:r>
    </w:p>
    <w:p>
      <w:pPr>
        <w:pStyle w:val="FirstParagraph"/>
      </w:pPr>
      <w:r>
        <w:rPr>
          <w:rStyle w:val="VerbatimChar"/>
        </w:rPr>
        <w:t xml:space="preserve">~/Projects/project_toolkit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separate repository</w:t>
      </w:r>
      <w:r>
        <w:t xml:space="preserve">, outside this checkout and</w:t>
      </w:r>
      <w:r>
        <w:t xml:space="preserve"> </w:t>
      </w:r>
      <w:r>
        <w:t xml:space="preserve">outside this task’s authorization. §11.4.28 (submodule/dependency decoupling) and</w:t>
      </w:r>
      <w:r>
        <w:t xml:space="preserve"> </w:t>
      </w:r>
      <w:r>
        <w:t xml:space="preserve">plain scope discipline both argue against unilaterally editing another project’s</w:t>
      </w:r>
      <w:r>
        <w:t xml:space="preserve"> </w:t>
      </w:r>
      <w:r>
        <w:t xml:space="preserve">tooling because of an incident observed here. Two possible directions exist and are</w:t>
      </w:r>
      <w:r>
        <w:t xml:space="preserve"> </w:t>
      </w:r>
      <w:r>
        <w:t xml:space="preserve">recorded as an</w:t>
      </w:r>
      <w:r>
        <w:t xml:space="preserve"> </w:t>
      </w:r>
      <w:r>
        <w:rPr>
          <w:b/>
          <w:bCs/>
        </w:rPr>
        <w:t xml:space="preserve">owed operator decision</w:t>
      </w:r>
      <w:r>
        <w:t xml:space="preserve">, not silently picked:</w:t>
      </w:r>
    </w:p>
    <w:p>
      <w:pPr>
        <w:pStyle w:val="Compact"/>
        <w:numPr>
          <w:ilvl w:val="0"/>
          <w:numId w:val="1003"/>
        </w:numPr>
      </w:pPr>
      <w:r>
        <w:t xml:space="preserve">Make</w:t>
      </w:r>
      <w:r>
        <w:t xml:space="preserve"> </w:t>
      </w:r>
      <w:r>
        <w:rPr>
          <w:rStyle w:val="VerbatimChar"/>
        </w:rPr>
        <w:t xml:space="preserve">commit.sh</w:t>
      </w:r>
      <w:r>
        <w:t xml:space="preserve"> </w:t>
      </w:r>
      <w:r>
        <w:t xml:space="preserve">repo-aware (detect a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 </w:t>
      </w:r>
      <w:r>
        <w:t xml:space="preserve">in the target</w:t>
      </w:r>
      <w:r>
        <w:t xml:space="preserve"> </w:t>
      </w:r>
      <w:r>
        <w:t xml:space="preserve">checkout and delegate to it, or refuse with a pointer) — a change to</w:t>
      </w:r>
      <w:r>
        <w:t xml:space="preserve"> </w:t>
      </w:r>
      <w:r>
        <w:rPr>
          <w:rStyle w:val="VerbatimChar"/>
        </w:rPr>
        <w:t xml:space="preserve">project_toolkit</w:t>
      </w:r>
      <w:r>
        <w:t xml:space="preserve"> </w:t>
      </w:r>
      <w:r>
        <w:t xml:space="preserve">itself, needing that project’s own review discipline.</w:t>
      </w:r>
    </w:p>
    <w:p>
      <w:pPr>
        <w:pStyle w:val="Compact"/>
        <w:numPr>
          <w:ilvl w:val="0"/>
          <w:numId w:val="1003"/>
        </w:numPr>
      </w:pPr>
      <w:r>
        <w:t xml:space="preserve">Leave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/</w:t>
      </w:r>
      <w:r>
        <w:rPr>
          <w:rStyle w:val="VerbatimChar"/>
        </w:rPr>
        <w:t xml:space="preserve">cmt</w:t>
      </w:r>
      <w:r>
        <w:t xml:space="preserve"> </w:t>
      </w:r>
      <w:r>
        <w:t xml:space="preserve">as an intentionally generic, project-agnostic convenience for</w:t>
      </w:r>
      <w:r>
        <w:t xml:space="preserve"> </w:t>
      </w:r>
      <w:r>
        <w:t xml:space="preserve">repos with no stricter mandate, and rely on</w:t>
      </w:r>
      <w:r>
        <w:t xml:space="preserve"> </w:t>
      </w:r>
      <w:r>
        <w:rPr>
          <w:b/>
          <w:bCs/>
        </w:rPr>
        <w:t xml:space="preserve">this repo’s own</w:t>
      </w:r>
      <w:r>
        <w:t xml:space="preserve"> </w:t>
      </w:r>
      <w:r>
        <w:t xml:space="preserve">guard (now fixed)</w:t>
      </w:r>
      <w:r>
        <w:t xml:space="preserve"> </w:t>
      </w:r>
      <w:r>
        <w:t xml:space="preserve">to catch and report an unreviewed sweep after the fact, per the detection-not-</w:t>
      </w:r>
      <w:r>
        <w:t xml:space="preserve"> </w:t>
      </w:r>
      <w:r>
        <w:t xml:space="preserve">prevention model §11.4.234 already establishes for hooks in this project.</w:t>
      </w:r>
    </w:p>
    <w:p>
      <w:pPr>
        <w:pStyle w:val="FirstParagraph"/>
      </w:pPr>
      <w:r>
        <w:t xml:space="preserve">Recommendation, not a decision made on the operator’s behalf: (1) is the more durable</w:t>
      </w:r>
      <w:r>
        <w:t xml:space="preserve"> </w:t>
      </w:r>
      <w:r>
        <w:t xml:space="preserve">fix if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/</w:t>
      </w:r>
      <w:r>
        <w:rPr>
          <w:rStyle w:val="VerbatimChar"/>
        </w:rPr>
        <w:t xml:space="preserve">cmt</w:t>
      </w:r>
      <w:r>
        <w:t xml:space="preserve"> </w:t>
      </w:r>
      <w:r>
        <w:t xml:space="preserve">is routinely invoked across multiple Helix-governed checkouts;</w:t>
      </w:r>
      <w:r>
        <w:t xml:space="preserve"> </w:t>
      </w:r>
      <w:r>
        <w:t xml:space="preserve">(2) requires no cross-repo change and is what this incident’s §5 fix already delivers.</w:t>
      </w:r>
    </w:p>
    <w:bookmarkEnd w:id="14"/>
    <w:bookmarkStart w:id="15" w:name="cross-reference"/>
    <w:p>
      <w:pPr>
        <w:pStyle w:val="Heading2"/>
      </w:pPr>
      <w:r>
        <w:t xml:space="preserve">7. Cross-reference</w:t>
      </w:r>
    </w:p>
    <w:p>
      <w:pPr>
        <w:pStyle w:val="FirstParagraph"/>
      </w:pPr>
      <w:r>
        <w:t xml:space="preserve">BOB-068’s original investigation (</w:t>
      </w:r>
      <w:r>
        <w:rPr>
          <w:rStyle w:val="VerbatimChar"/>
        </w:rPr>
        <w:t xml:space="preserve">docs/incidents/2026-08-18-auto-committer-BOB-068-investigation.md</w:t>
      </w:r>
      <w:r>
        <w:t xml:space="preserve">)</w:t>
      </w:r>
      <w:r>
        <w:t xml:space="preserve"> </w:t>
      </w:r>
      <w:r>
        <w:t xml:space="preserve">should be updated to reference this record as the resolution of its open</w:t>
      </w:r>
      <w:r>
        <w:t xml:space="preserve"> </w:t>
      </w:r>
      <w:r>
        <w:t xml:space="preserve">“operator-</w:t>
      </w:r>
      <w:r>
        <w:t xml:space="preserve"> </w:t>
      </w:r>
      <w:r>
        <w:t xml:space="preserve">shell toolkit sweep”</w:t>
      </w:r>
      <w:r>
        <w:t xml:space="preserve"> </w:t>
      </w:r>
      <w:r>
        <w:t xml:space="preserve">hypothesis for at least this instance.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2026-09-22T07:51:58Z</dcterms:created>
  <dcterms:modified xsi:type="dcterms:W3CDTF">2026-09-22T07:51:58Z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