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bob-086-backfill-evidence-manifest"/>
    <w:p>
      <w:pPr>
        <w:pStyle w:val="Heading1"/>
      </w:pPr>
      <w:r>
        <w:t xml:space="preserve">BOB-086 backfill evidence manifest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2026-08-19T00:00:00Z</w:t>
      </w:r>
    </w:p>
    <w:bookmarkStart w:id="9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Captured-evidence artefact for the §11.4.146(D3) status-custody backfill</w:t>
      </w:r>
      <w:r>
        <w:t xml:space="preserve"> </w:t>
      </w:r>
      <w:r>
        <w:t xml:space="preserve">executed under BOB-086. The workable-items DB carried 56 items whose</w:t>
      </w:r>
      <w:r>
        <w:t xml:space="preserve"> </w:t>
      </w:r>
      <w:r>
        <w:t xml:space="preserve">status had reached a</w:t>
      </w:r>
      <w:r>
        <w:t xml:space="preserve"> </w:t>
      </w:r>
      <w:r>
        <w:rPr>
          <w:rStyle w:val="VerbatimChar"/>
        </w:rPr>
        <w:t xml:space="preserve">Fixed</w:t>
      </w:r>
      <w:r>
        <w:t xml:space="preserve">-family terminal state without any</w:t>
      </w:r>
      <w:r>
        <w:t xml:space="preserve"> </w:t>
      </w:r>
      <w:r>
        <w:t xml:space="preserve">corresponding</w:t>
      </w:r>
      <w:r>
        <w:t xml:space="preserve"> </w:t>
      </w:r>
      <w:r>
        <w:rPr>
          <w:rStyle w:val="VerbatimChar"/>
        </w:rPr>
        <w:t xml:space="preserve">item_history</w:t>
      </w:r>
      <w:r>
        <w:t xml:space="preserve"> </w:t>
      </w:r>
      <w:r>
        <w:t xml:space="preserve">audit row — a silent status change class</w:t>
      </w:r>
      <w:r>
        <w:t xml:space="preserve"> </w:t>
      </w:r>
      <w:r>
        <w:t xml:space="preserve">that violates §11.4.148 (workable-item integrity) and §11.4.146(D3).</w:t>
      </w:r>
    </w:p>
    <w:p>
      <w:pPr>
        <w:pStyle w:val="BodyText"/>
      </w:pPr>
      <w:r>
        <w:t xml:space="preserve">BOB-086 backfills one</w:t>
      </w:r>
      <w:r>
        <w:t xml:space="preserve"> </w:t>
      </w:r>
      <w:r>
        <w:rPr>
          <w:rStyle w:val="VerbatimChar"/>
        </w:rPr>
        <w:t xml:space="preserve">item_history</w:t>
      </w:r>
      <w:r>
        <w:t xml:space="preserve"> </w:t>
      </w:r>
      <w:r>
        <w:t xml:space="preserve">row per silent item, honestly</w:t>
      </w:r>
      <w:r>
        <w:t xml:space="preserve"> </w:t>
      </w:r>
      <w:r>
        <w:t xml:space="preserve">labelled</w:t>
      </w:r>
      <w:r>
        <w:t xml:space="preserve"> </w:t>
      </w:r>
      <w:r>
        <w:rPr>
          <w:rStyle w:val="VerbatimChar"/>
        </w:rPr>
        <w:t xml:space="preserve">AI-inferred from git-history pickaxe</w:t>
      </w:r>
      <w:r>
        <w:t xml:space="preserve"> </w:t>
      </w:r>
      <w:r>
        <w:t xml:space="preserve">per §11.4.6 (no</w:t>
      </w:r>
      <w:r>
        <w:t xml:space="preserve"> </w:t>
      </w:r>
      <w:r>
        <w:t xml:space="preserve">guessing — the original closure operator / exact timestamp are</w:t>
      </w:r>
      <w:r>
        <w:t xml:space="preserve"> </w:t>
      </w:r>
      <w:r>
        <w:t xml:space="preserve">unrecoverable, so the row records what IS knowable: the git commit</w:t>
      </w:r>
      <w:r>
        <w:t xml:space="preserve"> </w:t>
      </w:r>
      <w:r>
        <w:t xml:space="preserve">that added the item to</w:t>
      </w:r>
      <w:r>
        <w:t xml:space="preserve"> </w:t>
      </w:r>
      <w:r>
        <w:rPr>
          <w:rStyle w:val="VerbatimChar"/>
        </w:rPr>
        <w:t xml:space="preserve">docs/Fixed.md</w:t>
      </w:r>
      <w:r>
        <w:t xml:space="preserve">, and the commit’s authored</w:t>
      </w:r>
      <w:r>
        <w:t xml:space="preserve"> </w:t>
      </w:r>
      <w:r>
        <w:t xml:space="preserve">date).</w:t>
      </w:r>
    </w:p>
    <w:bookmarkEnd w:id="9"/>
    <w:bookmarkStart w:id="10" w:name="provenance"/>
    <w:p>
      <w:pPr>
        <w:pStyle w:val="Heading2"/>
      </w:pPr>
      <w:r>
        <w:t xml:space="preserve">Provenance</w:t>
      </w:r>
    </w:p>
    <w:p>
      <w:pPr>
        <w:pStyle w:val="Compact"/>
        <w:numPr>
          <w:ilvl w:val="0"/>
          <w:numId w:val="1001"/>
        </w:numPr>
      </w:pPr>
      <w:r>
        <w:t xml:space="preserve">Discovery:</w:t>
      </w:r>
      <w:r>
        <w:t xml:space="preserve"> </w:t>
      </w:r>
      <w:r>
        <w:rPr>
          <w:rStyle w:val="VerbatimChar"/>
        </w:rPr>
        <w:t xml:space="preserve">sqlite3 docs/workable_items.db "SELECT DISTINCT atm_id FROM items WHERE current_location='Fixed' AND atm_id NOT IN (SELECT DISTINCT atm_id FROM item_history)"</w:t>
      </w:r>
      <w:r>
        <w:t xml:space="preserve"> </w:t>
      </w:r>
      <w:r>
        <w:t xml:space="preserve">→ 56 rows.</w:t>
      </w:r>
    </w:p>
    <w:p>
      <w:pPr>
        <w:pStyle w:val="Compact"/>
        <w:numPr>
          <w:ilvl w:val="0"/>
          <w:numId w:val="1001"/>
        </w:numPr>
      </w:pPr>
      <w:r>
        <w:t xml:space="preserve">Closure-commit resolution:</w:t>
      </w:r>
      <w:r>
        <w:t xml:space="preserve"> </w:t>
      </w:r>
      <w:r>
        <w:rPr>
          <w:rStyle w:val="VerbatimChar"/>
        </w:rPr>
        <w:t xml:space="preserve">git log --all --oneline -S "&lt;atm_id&gt;" -- docs/Fixed.md | tail -1</w:t>
      </w:r>
      <w:r>
        <w:t xml:space="preserve"> </w:t>
      </w:r>
      <w:r>
        <w:t xml:space="preserve">per item; fallback to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scope</w:t>
      </w:r>
      <w:r>
        <w:t xml:space="preserve"> </w:t>
      </w:r>
      <w:r>
        <w:t xml:space="preserve">when the pickaxe on</w:t>
      </w:r>
      <w:r>
        <w:t xml:space="preserve"> </w:t>
      </w:r>
      <w:r>
        <w:rPr>
          <w:rStyle w:val="VerbatimChar"/>
        </w:rPr>
        <w:t xml:space="preserve">Fixed.md</w:t>
      </w:r>
      <w:r>
        <w:t xml:space="preserve"> </w:t>
      </w:r>
      <w:r>
        <w:t xml:space="preserve">was empty (</w:t>
      </w:r>
      <w:r>
        <w:rPr>
          <w:rStyle w:val="VerbatimChar"/>
        </w:rPr>
        <w:t xml:space="preserve">f23879a</w:t>
      </w:r>
      <w:r>
        <w:t xml:space="preserve"> </w:t>
      </w:r>
      <w:r>
        <w:t xml:space="preserve">was the</w:t>
      </w:r>
      <w:r>
        <w:t xml:space="preserve"> </w:t>
      </w:r>
      <w:r>
        <w:t xml:space="preserve">Fixed.md seed commit and predates several items’ first mention).</w:t>
      </w:r>
    </w:p>
    <w:p>
      <w:pPr>
        <w:pStyle w:val="Compact"/>
        <w:numPr>
          <w:ilvl w:val="0"/>
          <w:numId w:val="1001"/>
        </w:numPr>
      </w:pPr>
      <w:r>
        <w:t xml:space="preserve">Date:</w:t>
      </w:r>
      <w:r>
        <w:t xml:space="preserve"> </w:t>
      </w:r>
      <w:r>
        <w:rPr>
          <w:rStyle w:val="VerbatimChar"/>
        </w:rPr>
        <w:t xml:space="preserve">git log -1 --format=%cI &lt;commit&gt;</w:t>
      </w:r>
      <w:r>
        <w:t xml:space="preserve"> </w:t>
      </w:r>
      <w:r>
        <w:t xml:space="preserve">(committer date, ISO).</w:t>
      </w:r>
    </w:p>
    <w:bookmarkEnd w:id="10"/>
    <w:bookmarkStart w:id="11" w:name="backfill-schema-per-row"/>
    <w:p>
      <w:pPr>
        <w:pStyle w:val="Heading2"/>
      </w:pPr>
      <w:r>
        <w:t xml:space="preserve">Backfill schema (per row)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event_type</w:t>
      </w:r>
      <w:r>
        <w:t xml:space="preserve"> </w:t>
      </w:r>
      <w:r>
        <w:t xml:space="preserve">— derived from the item’s current terminal status: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Fixed (→ Fixed.md)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Fixed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Completed (→ Fixed.md)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Completed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Implemented (→ Fixed.md)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Implemented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by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AI</w:t>
      </w:r>
      <w:r>
        <w:t xml:space="preserve"> </w:t>
      </w:r>
      <w:r>
        <w:t xml:space="preserve">(schema CHECK constrains to</w:t>
      </w:r>
      <w:r>
        <w:t xml:space="preserve"> </w:t>
      </w:r>
      <w:r>
        <w:rPr>
          <w:rStyle w:val="VerbatimChar"/>
        </w:rPr>
        <w:t xml:space="preserve">AI</w:t>
      </w:r>
      <w:r>
        <w:t xml:space="preserve">/</w:t>
      </w:r>
      <w:r>
        <w:rPr>
          <w:rStyle w:val="VerbatimChar"/>
        </w:rPr>
        <w:t xml:space="preserve">User</w:t>
      </w:r>
      <w:r>
        <w:t xml:space="preserve">/NULL; the</w:t>
      </w:r>
      <w:r>
        <w:t xml:space="preserve"> </w:t>
      </w:r>
      <w:r>
        <w:t xml:space="preserve">AI-inferred nature is recorded in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on_date</w:t>
      </w:r>
      <w:r>
        <w:t xml:space="preserve"> </w:t>
      </w:r>
      <w:r>
        <w:t xml:space="preserve">— commit date (</w:t>
      </w:r>
      <w:r>
        <w:rPr>
          <w:rStyle w:val="VerbatimChar"/>
        </w:rPr>
        <w:t xml:space="preserve">YYYY-MM-DD</w:t>
      </w:r>
      <w:r>
        <w:t xml:space="preserve">), UTC via</w:t>
      </w:r>
      <w:r>
        <w:t xml:space="preserve"> </w:t>
      </w:r>
      <w:r>
        <w:rPr>
          <w:rStyle w:val="VerbatimChar"/>
        </w:rPr>
        <w:t xml:space="preserve">%cI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reason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historical-backfill-BOB-086 (AI-inferred from git-history pickaxe on docs/Fixed.md; original closure committer/timestamp: git &lt;short-sha&gt;)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evidence_path</w:t>
      </w:r>
      <w:r>
        <w:t xml:space="preserve"> </w:t>
      </w:r>
      <w:r>
        <w:t xml:space="preserve">— this per-item evidence file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docs/qa/BOB-086/backfill_evidence/&lt;atm_id&gt;.md</w:t>
      </w:r>
      <w:r>
        <w:t xml:space="preserve">).</w:t>
      </w:r>
    </w:p>
    <w:bookmarkEnd w:id="11"/>
    <w:bookmarkStart w:id="12" w:name="honest-boundary-11.4.6"/>
    <w:p>
      <w:pPr>
        <w:pStyle w:val="Heading2"/>
      </w:pPr>
      <w:r>
        <w:t xml:space="preserve">Honest boundary (§11.4.6)</w:t>
      </w:r>
    </w:p>
    <w:p>
      <w:pPr>
        <w:pStyle w:val="Compact"/>
        <w:numPr>
          <w:ilvl w:val="0"/>
          <w:numId w:val="1004"/>
        </w:numPr>
      </w:pPr>
      <w:r>
        <w:t xml:space="preserve">The backfill does NOT invent the original operator, exact</w:t>
      </w:r>
      <w:r>
        <w:t xml:space="preserve"> </w:t>
      </w:r>
      <w:r>
        <w:t xml:space="preserve">closure timestamp, or original evidence artefacts (all</w:t>
      </w:r>
      <w:r>
        <w:t xml:space="preserve"> </w:t>
      </w:r>
      <w:r>
        <w:t xml:space="preserve">unrecoverable). It records the git commit that materialised</w:t>
      </w:r>
      <w:r>
        <w:t xml:space="preserve"> </w:t>
      </w:r>
      <w:r>
        <w:t xml:space="preserve">the closure as the best available anchor.</w:t>
      </w:r>
    </w:p>
    <w:p>
      <w:pPr>
        <w:pStyle w:val="Compact"/>
        <w:numPr>
          <w:ilvl w:val="0"/>
          <w:numId w:val="1004"/>
        </w:numPr>
      </w:pPr>
      <w:r>
        <w:t xml:space="preserve">The backfill does NOT retro-validate the closures. It restores</w:t>
      </w:r>
      <w:r>
        <w:t xml:space="preserve"> </w:t>
      </w:r>
      <w:r>
        <w:t xml:space="preserve">the audit-trail invariant so future §11.4.146(D3) sweeps do not</w:t>
      </w:r>
      <w:r>
        <w:t xml:space="preserve"> </w:t>
      </w:r>
      <w:r>
        <w:t xml:space="preserve">flag these items as silent.</w:t>
      </w:r>
    </w:p>
    <w:p>
      <w:pPr>
        <w:pStyle w:val="Compact"/>
        <w:numPr>
          <w:ilvl w:val="0"/>
          <w:numId w:val="1004"/>
        </w:numPr>
      </w:pPr>
      <w:r>
        <w:t xml:space="preserve">BOB-009 + BOB-010 additionally receive</w:t>
      </w:r>
      <w:r>
        <w:t xml:space="preserve"> </w:t>
      </w:r>
      <w:r>
        <w:rPr>
          <w:rStyle w:val="VerbatimChar"/>
        </w:rPr>
        <w:t xml:space="preserve">items.commit_ref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items.closure_date</w:t>
      </w:r>
      <w:r>
        <w:t xml:space="preserve"> </w:t>
      </w:r>
      <w:r>
        <w:t xml:space="preserve">(commit</w:t>
      </w:r>
      <w:r>
        <w:t xml:space="preserve"> </w:t>
      </w:r>
      <w:r>
        <w:rPr>
          <w:rStyle w:val="VerbatimChar"/>
        </w:rPr>
        <w:t xml:space="preserve">7d243cc</w:t>
      </w:r>
      <w:r>
        <w:t xml:space="preserve">, 2026-06-08 —</w:t>
      </w:r>
      <w:r>
        <w:t xml:space="preserve"> </w:t>
      </w:r>
      <w:r>
        <w:t xml:space="preserve">“chore:</w:t>
      </w:r>
      <w:r>
        <w:t xml:space="preserve"> </w:t>
      </w:r>
      <w:r>
        <w:t xml:space="preserve">close BOB-009 and BOB-010 as completed, sync Markdown</w:t>
      </w:r>
      <w:r>
        <w:t xml:space="preserve"> </w:t>
      </w:r>
      <w:r>
        <w:t xml:space="preserve">trackers”</w:t>
      </w:r>
      <w:r>
        <w:t xml:space="preserve">) for cross-artefact traceability.</w:t>
      </w:r>
    </w:p>
    <w:bookmarkEnd w:id="12"/>
    <w:bookmarkStart w:id="13" w:name="per-item-files"/>
    <w:p>
      <w:pPr>
        <w:pStyle w:val="Heading2"/>
      </w:pPr>
      <w:r>
        <w:t xml:space="preserve">Per-item files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rStyle w:val="VerbatimChar"/>
        </w:rPr>
        <w:t xml:space="preserve">backfill_evidence/&lt;atm_id&gt;.md</w:t>
      </w:r>
      <w:r>
        <w:t xml:space="preserve"> </w:t>
      </w:r>
      <w:r>
        <w:t xml:space="preserve">— one file per backfilled item,</w:t>
      </w:r>
      <w:r>
        <w:t xml:space="preserve"> </w:t>
      </w:r>
      <w:r>
        <w:t xml:space="preserve">each carrying its closure commit + authored date + status →</w:t>
      </w:r>
      <w:r>
        <w:t xml:space="preserve"> </w:t>
      </w:r>
      <w:r>
        <w:t xml:space="preserve">event-type mapping.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2026-09-01T16:26:19Z</dcterms:created>
  <dcterms:modified xsi:type="dcterms:W3CDTF">2026-09-01T16:26:19Z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