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7f46cf7da662416e83ab0f9a467ebad984b1a5"/>
    <w:p>
      <w:pPr>
        <w:pStyle w:val="Heading1"/>
      </w:pPr>
      <w:r>
        <w:t xml:space="preserve">BOB-095 — Go-side SSE-broker stress + chaos automation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rStyle w:val="VerbatimChar"/>
        </w:rPr>
        <w:t xml:space="preserve">qBitTorrent-go/internal/service/sse_broker_stress_chaos_test.go</w:t>
      </w:r>
      <w:r>
        <w:t xml:space="preserve"> </w:t>
      </w:r>
      <w:r>
        <w:t xml:space="preserve">—</w:t>
      </w:r>
      <w:r>
        <w:t xml:space="preserve"> </w:t>
      </w:r>
      <w:r>
        <w:t xml:space="preserve">§11.4.85 stress + chaos coverage for</w:t>
      </w:r>
      <w:r>
        <w:t xml:space="preserve"> </w:t>
      </w:r>
      <w:r>
        <w:rPr>
          <w:rStyle w:val="VerbatimChar"/>
        </w:rPr>
        <w:t xml:space="preserve">SSEBroker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internal/service/sse_broker.go</w:t>
      </w:r>
      <w:r>
        <w:t xml:space="preserve">)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. Go-side sibling to BOB-094’s Python</w:t>
      </w:r>
      <w:r>
        <w:t xml:space="preserve"> </w:t>
      </w:r>
      <w:r>
        <w:t xml:space="preserve">tracker-fetch coverage.</w:t>
      </w:r>
    </w:p>
    <w:bookmarkEnd w:id="9"/>
    <w:bookmarkStart w:id="12" w:name="X5f88bc6a2d8416bd688eeb636fe51c884cc158b"/>
    <w:p>
      <w:pPr>
        <w:pStyle w:val="Heading2"/>
      </w:pPr>
      <w:r>
        <w:t xml:space="preserve">Scenarios delivered (6 tests, all GREEN under -race)</w:t>
      </w:r>
    </w:p>
    <w:bookmarkStart w:id="10" w:name="stress"/>
    <w:p>
      <w:pPr>
        <w:pStyle w:val="Heading3"/>
      </w:pPr>
      <w:r>
        <w:t xml:space="preserve">STRESS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TestSSEBrokerStressChaos_SustainedSubscribeUnsubscribe</w:t>
            </w:r>
          </w:p>
        </w:tc>
        <w:tc>
          <w:tcPr/>
          <w:p>
            <w:pPr>
              <w:pStyle w:val="Compact"/>
            </w:pPr>
            <w:r>
              <w:t xml:space="preserve">sustained-load — 1000 cycles + goroutine-leak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TestSSEBrokerStressChaos_ConcurrentSubscribers</w:t>
            </w:r>
          </w:p>
        </w:tc>
        <w:tc>
          <w:tcPr/>
          <w:p>
            <w:pPr>
              <w:pStyle w:val="Compact"/>
            </w:pPr>
            <w:r>
              <w:t xml:space="preserve">concurrent — 100 subs × 5 msgs = 500 delivered, no deadlock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TestSSEBrokerStressChaos_BoundaryDoubleUnsubscribe</w:t>
            </w:r>
          </w:p>
        </w:tc>
        <w:tc>
          <w:tcPr/>
          <w:p>
            <w:pPr>
              <w:pStyle w:val="Compact"/>
            </w:pPr>
            <w:r>
              <w:t xml:space="preserve">boundary — double-close idempotency</w:t>
            </w:r>
          </w:p>
        </w:tc>
      </w:tr>
    </w:tbl>
    <w:bookmarkEnd w:id="10"/>
    <w:bookmarkStart w:id="11" w:name="chaos"/>
    <w:p>
      <w:pPr>
        <w:pStyle w:val="Heading3"/>
      </w:pPr>
      <w:r>
        <w:t xml:space="preserve">CHAOS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TestSSEBrokerStressChaos_SlowSubscriberDoesNotBlock</w:t>
            </w:r>
          </w:p>
        </w:tc>
        <w:tc>
          <w:tcPr/>
          <w:p>
            <w:pPr>
              <w:pStyle w:val="Compact"/>
            </w:pPr>
            <w:r>
              <w:t xml:space="preserve">backpressure isolation —</w:t>
            </w:r>
            <w:r>
              <w:t xml:space="preserve"> </w:t>
            </w:r>
            <w:r>
              <w:rPr>
                <w:rStyle w:val="VerbatimChar"/>
              </w:rPr>
              <w:t xml:space="preserve">default:</w:t>
            </w:r>
            <w:r>
              <w:t xml:space="preserve"> </w:t>
            </w:r>
            <w:r>
              <w:t xml:space="preserve">clause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TestSSEBrokerStressChaos_UnsubscribeDuringPublish</w:t>
            </w:r>
          </w:p>
        </w:tc>
        <w:tc>
          <w:tcPr/>
          <w:p>
            <w:pPr>
              <w:pStyle w:val="Compact"/>
            </w:pPr>
            <w:r>
              <w:t xml:space="preserve">RLock/Lock ordering under contention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TestSSEBrokerStressChaos_ProducerFloodBoundedByBuffer</w:t>
            </w:r>
          </w:p>
        </w:tc>
        <w:tc>
          <w:tcPr/>
          <w:p>
            <w:pPr>
              <w:pStyle w:val="Compact"/>
            </w:pPr>
            <w:r>
              <w:t xml:space="preserve">producer-flood bounded by 10-msg buffer</w:t>
            </w:r>
          </w:p>
        </w:tc>
      </w:tr>
    </w:tbl>
    <w:bookmarkEnd w:id="11"/>
    <w:bookmarkEnd w:id="12"/>
    <w:bookmarkStart w:id="15" w:name="red-first-captures"/>
    <w:p>
      <w:pPr>
        <w:pStyle w:val="Heading2"/>
      </w:pPr>
      <w:r>
        <w:t xml:space="preserve">§11.4.115 RED-first captures</w:t>
      </w:r>
    </w:p>
    <w:bookmarkStart w:id="13" w:name="Xe23a997e4cdf20ec644508e5b99177fa5476ff5"/>
    <w:p>
      <w:pPr>
        <w:pStyle w:val="Heading3"/>
      </w:pPr>
      <w:r>
        <w:t xml:space="preserve">Natural RED — §11.4.238 automated-QA-discovers defect</w:t>
      </w:r>
    </w:p>
    <w:p>
      <w:pPr>
        <w:pStyle w:val="FirstParagraph"/>
      </w:pPr>
      <w:r>
        <w:t xml:space="preserve">The initial test run of scenario #3 (double-unsubscribe) uncovered a REAL</w:t>
      </w:r>
      <w:r>
        <w:t xml:space="preserve"> </w:t>
      </w:r>
      <w:r>
        <w:t xml:space="preserve">defect the source-side review had missed:</w:t>
      </w:r>
      <w:r>
        <w:t xml:space="preserve"> </w:t>
      </w:r>
      <w:r>
        <w:rPr>
          <w:rStyle w:val="VerbatimChar"/>
        </w:rPr>
        <w:t xml:space="preserve">close(ch)</w:t>
      </w:r>
      <w:r>
        <w:t xml:space="preserve"> </w:t>
      </w:r>
      <w:r>
        <w:t xml:space="preserve">panicked with</w:t>
      </w:r>
      <w:r>
        <w:t xml:space="preserve"> </w:t>
      </w:r>
      <w:r>
        <w:rPr>
          <w:rStyle w:val="VerbatimChar"/>
        </w:rPr>
        <w:t xml:space="preserve">close of closed channel</w:t>
      </w:r>
      <w:r>
        <w:t xml:space="preserve">. Captured in</w:t>
      </w:r>
      <w:r>
        <w:t xml:space="preserve"> </w:t>
      </w:r>
      <w:r>
        <w:rPr>
          <w:rStyle w:val="VerbatimChar"/>
        </w:rPr>
        <w:t xml:space="preserve">evidence/red_capture_double_unsubscribe.txt</w:t>
      </w:r>
      <w:r>
        <w:t xml:space="preserve">.</w:t>
      </w:r>
      <w:r>
        <w:t xml:space="preserve"> </w:t>
      </w:r>
      <w:r>
        <w:t xml:space="preserve">Fix landed in the same commit:</w:t>
      </w:r>
      <w:r>
        <w:t xml:space="preserve"> </w:t>
      </w:r>
      <w:r>
        <w:rPr>
          <w:rStyle w:val="VerbatimChar"/>
        </w:rPr>
        <w:t xml:space="preserve">sse_broker.go</w:t>
      </w:r>
      <w:r>
        <w:t xml:space="preserve"> </w:t>
      </w:r>
      <w:r>
        <w:rPr>
          <w:rStyle w:val="VerbatimChar"/>
        </w:rPr>
        <w:t xml:space="preserve">Subscribe()</w:t>
      </w:r>
      <w:r>
        <w:t xml:space="preserve"> </w:t>
      </w:r>
      <w:r>
        <w:t xml:space="preserve">gates the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on registry membership so a second call is a safe no-op</w:t>
      </w:r>
      <w:r>
        <w:t xml:space="preserve"> </w:t>
      </w:r>
      <w:r>
        <w:t xml:space="preserve">(§11.4.253 idempotency).</w:t>
      </w:r>
    </w:p>
    <w:bookmarkEnd w:id="13"/>
    <w:bookmarkStart w:id="14" w:name="synthetic-red-backpressure-mutation"/>
    <w:p>
      <w:pPr>
        <w:pStyle w:val="Heading3"/>
      </w:pPr>
      <w:r>
        <w:t xml:space="preserve">Synthetic RED — backpressure mutation</w:t>
      </w:r>
    </w:p>
    <w:p>
      <w:pPr>
        <w:pStyle w:val="FirstParagraph"/>
      </w:pPr>
      <w:r>
        <w:rPr>
          <w:rStyle w:val="VerbatimChar"/>
        </w:rPr>
        <w:t xml:space="preserve">sse_broker.go</w:t>
      </w:r>
      <w:r>
        <w:t xml:space="preserve"> </w:t>
      </w:r>
      <w:r>
        <w:rPr>
          <w:rStyle w:val="VerbatimChar"/>
        </w:rPr>
        <w:t xml:space="preserve">Publish()</w:t>
      </w:r>
      <w:r>
        <w:t xml:space="preserve"> </w:t>
      </w:r>
      <w:r>
        <w:t xml:space="preserve">was TEMPORARILY mutated by removing the</w:t>
      </w:r>
      <w:r>
        <w:t xml:space="preserve"> </w:t>
      </w:r>
      <w:r>
        <w:rPr>
          <w:rStyle w:val="VerbatimChar"/>
        </w:rPr>
        <w:t xml:space="preserve">select { … default: … }</w:t>
      </w:r>
      <w:r>
        <w:t xml:space="preserve"> </w:t>
      </w:r>
      <w:r>
        <w:t xml:space="preserve">clause (turning it into a blocking send).</w:t>
      </w:r>
      <w:r>
        <w:t xml:space="preserve"> </w:t>
      </w:r>
      <w:r>
        <w:t xml:space="preserve">Scenario #4 wedged as expected; the</w:t>
      </w:r>
      <w:r>
        <w:t xml:space="preserve"> </w:t>
      </w:r>
      <w:r>
        <w:rPr>
          <w:rStyle w:val="VerbatimChar"/>
        </w:rPr>
        <w:t xml:space="preserve">-timeout 10s</w:t>
      </w:r>
      <w:r>
        <w:t xml:space="preserve"> </w:t>
      </w:r>
      <w:r>
        <w:t xml:space="preserve">deadline triggered</w:t>
      </w:r>
      <w:r>
        <w:t xml:space="preserve"> </w:t>
      </w:r>
      <w:r>
        <w:t xml:space="preserve">and the test FAILed. Captured in</w:t>
      </w:r>
      <w:r>
        <w:t xml:space="preserve"> </w:t>
      </w:r>
      <w:r>
        <w:rPr>
          <w:rStyle w:val="VerbatimChar"/>
        </w:rPr>
        <w:t xml:space="preserve">evidence/red_capture_backpressure.txt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default:</w:t>
      </w:r>
      <w:r>
        <w:t xml:space="preserve"> </w:t>
      </w:r>
      <w:r>
        <w:t xml:space="preserve">clause was restored immediately after capture; the</w:t>
      </w:r>
      <w:r>
        <w:t xml:space="preserve"> </w:t>
      </w:r>
      <w:r>
        <w:t xml:space="preserve">GREEN re-run is in</w:t>
      </w:r>
      <w:r>
        <w:t xml:space="preserve"> </w:t>
      </w:r>
      <w:r>
        <w:rPr>
          <w:rStyle w:val="VerbatimChar"/>
        </w:rPr>
        <w:t xml:space="preserve">evidence/green_capture_after_restore.txt</w:t>
      </w:r>
      <w:r>
        <w:t xml:space="preserve">.</w:t>
      </w:r>
    </w:p>
    <w:bookmarkEnd w:id="14"/>
    <w:bookmarkEnd w:id="15"/>
    <w:bookmarkStart w:id="16" w:name="evidence-layout"/>
    <w:p>
      <w:pPr>
        <w:pStyle w:val="Heading2"/>
      </w:pPr>
      <w:r>
        <w:t xml:space="preserve">Evidence layout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latency.json</w:t>
      </w:r>
      <w:r>
        <w:t xml:space="preserve"> </w:t>
      </w:r>
      <w:r>
        <w:t xml:space="preserve">— p50/p95/p99 + goroutine deltas (scenario 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concurrent.json</w:t>
      </w:r>
      <w:r>
        <w:t xml:space="preserve"> </w:t>
      </w:r>
      <w:r>
        <w:t xml:space="preserve">— fan-out totals (scenario 2)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boundary_double_unsubscribe.txt</w:t>
      </w:r>
      <w:r>
        <w:t xml:space="preserve"> </w:t>
      </w:r>
      <w:r>
        <w:t xml:space="preserve">— safe no-op proof (scenario 3)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chaos_slow_subscriber.json</w:t>
      </w:r>
      <w:r>
        <w:t xml:space="preserve"> </w:t>
      </w:r>
      <w:r>
        <w:t xml:space="preserve">— publisher-not-wedged proof (scenario 4)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chaos_unsubscribe_during_publish.json</w:t>
      </w:r>
      <w:r>
        <w:t xml:space="preserve"> </w:t>
      </w:r>
      <w:r>
        <w:t xml:space="preserve">— race + panic counts (scenario 5)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chaos_producer_flood.json</w:t>
      </w:r>
      <w:r>
        <w:t xml:space="preserve"> </w:t>
      </w:r>
      <w:r>
        <w:t xml:space="preserve">— buffer-bounded delivery (scenario 6)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red_capture_double_unsubscribe.txt</w:t>
      </w:r>
      <w:r>
        <w:t xml:space="preserve"> </w:t>
      </w:r>
      <w:r>
        <w:t xml:space="preserve">— §11.4.115 RED (natural, defect-found)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red_capture_backpressure.txt</w:t>
      </w:r>
      <w:r>
        <w:t xml:space="preserve"> </w:t>
      </w:r>
      <w:r>
        <w:t xml:space="preserve">— §11.4.115 RED (mutation, restored)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green_capture_after_restore.txt</w:t>
      </w:r>
      <w:r>
        <w:t xml:space="preserve"> </w:t>
      </w:r>
      <w:r>
        <w:t xml:space="preserve">— final GREEN run, 6/6 PASS</w:t>
      </w:r>
    </w:p>
    <w:bookmarkEnd w:id="16"/>
    <w:bookmarkStart w:id="17" w:name="discipline-citations"/>
    <w:p>
      <w:pPr>
        <w:pStyle w:val="Heading2"/>
      </w:pPr>
      <w:r>
        <w:t xml:space="preserve">Discipline citations</w:t>
      </w:r>
    </w:p>
    <w:p>
      <w:pPr>
        <w:pStyle w:val="Compact"/>
        <w:numPr>
          <w:ilvl w:val="0"/>
          <w:numId w:val="1002"/>
        </w:numPr>
      </w:pPr>
      <w:r>
        <w:t xml:space="preserve">§11.4.85 stress + chaos test types</w:t>
      </w:r>
    </w:p>
    <w:p>
      <w:pPr>
        <w:pStyle w:val="Compact"/>
        <w:numPr>
          <w:ilvl w:val="0"/>
          <w:numId w:val="1002"/>
        </w:numPr>
      </w:pPr>
      <w:r>
        <w:t xml:space="preserve">§11.4.115(F) machine-written verdict pairs — natural RED / mutation RED</w:t>
      </w:r>
    </w:p>
    <w:p>
      <w:pPr>
        <w:pStyle w:val="Compact"/>
        <w:numPr>
          <w:ilvl w:val="0"/>
          <w:numId w:val="1002"/>
        </w:numPr>
      </w:pPr>
      <w:r>
        <w:t xml:space="preserve">§11.4.161 rootless — no root/podman needed</w:t>
      </w:r>
    </w:p>
    <w:p>
      <w:pPr>
        <w:pStyle w:val="Compact"/>
        <w:numPr>
          <w:ilvl w:val="0"/>
          <w:numId w:val="1002"/>
        </w:numPr>
      </w:pPr>
      <w:r>
        <w:t xml:space="preserve">§11.4.14 cleanup on every exit —</w:t>
      </w:r>
      <w:r>
        <w:t xml:space="preserve"> </w:t>
      </w:r>
      <w:r>
        <w:rPr>
          <w:rStyle w:val="VerbatimChar"/>
        </w:rPr>
        <w:t xml:space="preserve">defer unsub()</w:t>
      </w:r>
      <w:r>
        <w:t xml:space="preserve"> </w:t>
      </w:r>
      <w:r>
        <w:t xml:space="preserve">on every subscribe</w:t>
      </w:r>
    </w:p>
    <w:p>
      <w:pPr>
        <w:pStyle w:val="Compact"/>
        <w:numPr>
          <w:ilvl w:val="0"/>
          <w:numId w:val="1002"/>
        </w:numPr>
      </w:pPr>
      <w:r>
        <w:t xml:space="preserve">§11.4.3 SKIP-with-reason — evidence-dir creation failure, never fake pass</w:t>
      </w:r>
    </w:p>
    <w:p>
      <w:pPr>
        <w:pStyle w:val="Compact"/>
        <w:numPr>
          <w:ilvl w:val="0"/>
          <w:numId w:val="1002"/>
        </w:numPr>
      </w:pPr>
      <w:r>
        <w:t xml:space="preserve">§12/§12.6/§12.12 host safety —</w:t>
      </w:r>
      <w:r>
        <w:t xml:space="preserve"> </w:t>
      </w:r>
      <w:r>
        <w:rPr>
          <w:rStyle w:val="VerbatimChar"/>
        </w:rPr>
        <w:t xml:space="preserve">GOMAXPROCS=2 nice -n 19</w:t>
      </w:r>
    </w:p>
    <w:p>
      <w:pPr>
        <w:pStyle w:val="Compact"/>
        <w:numPr>
          <w:ilvl w:val="0"/>
          <w:numId w:val="1002"/>
        </w:numPr>
      </w:pPr>
      <w:r>
        <w:t xml:space="preserve">§11.4.238 automated QA discovers — scenario #3 caught a live defect</w:t>
      </w:r>
    </w:p>
    <w:p>
      <w:pPr>
        <w:pStyle w:val="Compact"/>
        <w:numPr>
          <w:ilvl w:val="0"/>
          <w:numId w:val="1002"/>
        </w:numPr>
      </w:pPr>
      <w:r>
        <w:t xml:space="preserve">§11.4.253 idempotency — the double-unsubscribe fix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2026-09-01T16:26:22Z</dcterms:created>
  <dcterms:modified xsi:type="dcterms:W3CDTF">2026-09-01T16:26:22Z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