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-136-closure-evidence"/>
    <w:p>
      <w:pPr>
        <w:pStyle w:val="Heading1"/>
      </w:pPr>
      <w:r>
        <w:t xml:space="preserve">BOB-136 — closure evidence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Closure seam does not bind: 4 tracker rows found stale in one sweep,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is blind to body_md drift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 ·</w:t>
      </w:r>
      <w:r>
        <w:t xml:space="preserve"> </w:t>
      </w:r>
      <w:r>
        <w:rPr>
          <w:b/>
          <w:bCs/>
        </w:rPr>
        <w:t xml:space="preserve">Closed:</w:t>
      </w:r>
      <w:r>
        <w:t xml:space="preserve"> </w:t>
      </w:r>
      <w:r>
        <w:t xml:space="preserve">2026-08-21 ·</w:t>
      </w:r>
      <w:r>
        <w:t xml:space="preserve"> </w:t>
      </w:r>
      <w:r>
        <w:rPr>
          <w:b/>
          <w:bCs/>
        </w:rPr>
        <w:t xml:space="preserve">HEAD at capture:</w:t>
      </w:r>
      <w:r>
        <w:t xml:space="preserve"> </w:t>
      </w:r>
      <w:r>
        <w:t xml:space="preserve">57e20c0</w:t>
      </w:r>
    </w:p>
    <w:p>
      <w:pPr>
        <w:pStyle w:val="BodyText"/>
      </w:pPr>
      <w:r>
        <w:t xml:space="preserve">Every acceptance clause below was verified by INVOCATION, not by reading source</w:t>
      </w:r>
      <w:r>
        <w:t xml:space="preserve"> </w:t>
      </w:r>
      <w:r>
        <w:t xml:space="preserve">or usage text (§11.4.226 — a runtime-layer claim needs runtime-class evidence).</w:t>
      </w:r>
    </w:p>
    <w:bookmarkStart w:id="9" w:name="Xdc50aacc6eceed3f2c1cd5a7429ac8c5b1387d4"/>
    <w:p>
      <w:pPr>
        <w:pStyle w:val="Heading2"/>
      </w:pPr>
      <w:r>
        <w:t xml:space="preserve">(a) The flagless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no longer returns a clean verdict without reading Markdown</w:t>
      </w:r>
    </w:p>
    <w:p>
      <w:pPr>
        <w:pStyle w:val="SourceCode"/>
      </w:pPr>
      <w:r>
        <w:rPr>
          <w:rStyle w:val="VerbatimChar"/>
        </w:rPr>
        <w:t xml:space="preserve">$ workable-items diff --db docs/workable_items.db</w:t>
      </w:r>
      <w:r>
        <w:br/>
      </w:r>
      <w:r>
        <w:rPr>
          <w:rStyle w:val="VerbatimChar"/>
        </w:rPr>
        <w:t xml:space="preserve">exit=1</w:t>
      </w:r>
      <w:r>
        <w:br/>
      </w:r>
      <w:r>
        <w:rPr>
          <w:rStyle w:val="VerbatimChar"/>
        </w:rPr>
        <w:t xml:space="preserve">diff: at least one of --issues / --fixed is required — refusing to report a</w:t>
      </w:r>
      <w:r>
        <w:br/>
      </w:r>
      <w:r>
        <w:rPr>
          <w:rStyle w:val="VerbatimChar"/>
        </w:rPr>
        <w:t xml:space="preserve">DB-vs-Markdown verdict without reading any Markdown (pass --db-only to run</w:t>
      </w:r>
      <w:r>
        <w:br/>
      </w:r>
      <w:r>
        <w:rPr>
          <w:rStyle w:val="VerbatimChar"/>
        </w:rPr>
        <w:t xml:space="preserve">just the DB-internal integrity checks)</w:t>
      </w:r>
    </w:p>
    <w:p>
      <w:pPr>
        <w:pStyle w:val="FirstParagraph"/>
      </w:pPr>
      <w:r>
        <w:t xml:space="preserve">The explicit escape says what it did NOT do, rather than implying a comparison:</w:t>
      </w:r>
    </w:p>
    <w:p>
      <w:pPr>
        <w:pStyle w:val="SourceCode"/>
      </w:pPr>
      <w:r>
        <w:rPr>
          <w:rStyle w:val="VerbatimChar"/>
        </w:rPr>
        <w:t xml:space="preserve">$ workable-items diff --db docs/workable_items.db --db-only</w:t>
      </w:r>
      <w:r>
        <w:br/>
      </w:r>
      <w:r>
        <w:rPr>
          <w:rStyle w:val="VerbatimChar"/>
        </w:rPr>
        <w:t xml:space="preserve">diff: DB-internal checks passed — 164 item(s) inspected; no Markdown compared (--db-only)</w:t>
      </w:r>
    </w:p>
    <w:p>
      <w:pPr>
        <w:pStyle w:val="FirstParagraph"/>
      </w:pPr>
      <w:r>
        <w:t xml:space="preserve">CONTROL NEEDLE (§11.4.201(7)(b)) — the refusal above is only evidence if the</w:t>
      </w:r>
      <w:r>
        <w:t xml:space="preserve"> </w:t>
      </w:r>
      <w:r>
        <w:t xml:space="preserve">binary still works on the same DB when given the flags. It does:</w:t>
      </w:r>
    </w:p>
    <w:p>
      <w:pPr>
        <w:pStyle w:val="SourceCode"/>
      </w:pPr>
      <w:r>
        <w:rPr>
          <w:rStyle w:val="VerbatimChar"/>
        </w:rPr>
        <w:t xml:space="preserve">$ workable-items diff --db docs/workable_items.db --issues docs/Issues.md --fixed docs/Fixed.md</w:t>
      </w:r>
      <w:r>
        <w:br/>
      </w:r>
      <w:r>
        <w:rPr>
          <w:rStyle w:val="VerbatimChar"/>
        </w:rPr>
        <w:t xml:space="preserve">diff: DB and Markdown are in sync (compared 164 Markdown item(s) against 164 DB item(s);</w:t>
      </w:r>
      <w:r>
        <w:br/>
      </w:r>
      <w:r>
        <w:rPr>
          <w:rStyle w:val="VerbatimChar"/>
        </w:rPr>
        <w:t xml:space="preserve">read docs/Issues.md, docs/Fixed.md)</w:t>
      </w:r>
    </w:p>
    <w:p>
      <w:pPr>
        <w:pStyle w:val="FirstParagraph"/>
      </w:pPr>
      <w:r>
        <w:t xml:space="preserve">Without that third line the exit=1 above would be indistinguishable from a</w:t>
      </w:r>
      <w:r>
        <w:t xml:space="preserve"> </w:t>
      </w:r>
      <w:r>
        <w:t xml:space="preserve">broken binary refusing everything.</w:t>
      </w:r>
    </w:p>
    <w:bookmarkEnd w:id="9"/>
    <w:bookmarkStart w:id="10" w:name="b-no-caller-uses-the-flagless-form"/>
    <w:p>
      <w:pPr>
        <w:pStyle w:val="Heading2"/>
      </w:pPr>
      <w:r>
        <w:t xml:space="preserve">(b) No caller uses the flagless form</w:t>
      </w:r>
    </w:p>
    <w:p>
      <w:pPr>
        <w:pStyle w:val="SourceCode"/>
      </w:pPr>
      <w:r>
        <w:rPr>
          <w:rStyle w:val="VerbatimChar"/>
        </w:rPr>
        <w:t xml:space="preserve">CHECK B flagless-diff callers ..... PASS (0 callers of the false-null form)</w:t>
      </w:r>
    </w:p>
    <w:bookmarkEnd w:id="10"/>
    <w:bookmarkStart w:id="11" w:name="X2707085838bdade4bc6221dbf52959e686ec57c"/>
    <w:p>
      <w:pPr>
        <w:pStyle w:val="Heading2"/>
      </w:pPr>
      <w:r>
        <w:t xml:space="preserve">(c) A sweep flags non-terminal rows whose id appears in a merged commit</w:t>
      </w:r>
    </w:p>
    <w:p>
      <w:pPr>
        <w:pStyle w:val="FirstParagraph"/>
      </w:pPr>
      <w:r>
        <w:t xml:space="preserve">Wired as pre-build invariant 49, verified at three layers:</w:t>
      </w:r>
    </w:p>
    <w:p>
      <w:pPr>
        <w:numPr>
          <w:ilvl w:val="0"/>
          <w:numId w:val="1001"/>
        </w:numPr>
      </w:pPr>
      <w:r>
        <w:t xml:space="preserve">SOURCE —</w:t>
      </w:r>
      <w:r>
        <w:t xml:space="preserve"> </w:t>
      </w:r>
      <w:r>
        <w:rPr>
          <w:rStyle w:val="VerbatimChar"/>
        </w:rPr>
        <w:t xml:space="preserve">pre_build_verification.sh:1818</w:t>
      </w:r>
      <w:r>
        <w:t xml:space="preserve"> </w:t>
      </w:r>
      <w:r>
        <w:t xml:space="preserve">invokes the gate script</w:t>
      </w:r>
    </w:p>
    <w:p>
      <w:pPr>
        <w:numPr>
          <w:ilvl w:val="0"/>
          <w:numId w:val="1001"/>
        </w:numPr>
      </w:pPr>
      <w:r>
        <w:t xml:space="preserve">ARTIFACT — the driver advertises 49/49 (was 48 before this wiring)</w:t>
      </w:r>
    </w:p>
    <w:p>
      <w:pPr>
        <w:numPr>
          <w:ilvl w:val="0"/>
          <w:numId w:val="1001"/>
        </w:numPr>
      </w:pPr>
      <w:r>
        <w:t xml:space="preserve">RUNTIME — the gate executes: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structural commit&lt;-&gt;item links .. 220</w:t>
      </w:r>
      <w:r>
        <w:br/>
      </w:r>
      <w:r>
        <w:rPr>
          <w:rStyle w:val="VerbatimChar"/>
        </w:rPr>
        <w:t xml:space="preserve">control needle (§11.4.201(7)(b)) . PASS (4/4 known links seen)</w:t>
      </w:r>
      <w:r>
        <w:br/>
      </w:r>
      <w:r>
        <w:rPr>
          <w:rStyle w:val="VerbatimChar"/>
        </w:rPr>
        <w:t xml:space="preserve">CHECK A closure seam .............. PASS (0 stale rows, 0 untracked ids)</w:t>
      </w:r>
    </w:p>
    <w:p>
      <w:pPr>
        <w:pStyle w:val="FirstParagraph"/>
      </w:pPr>
      <w:r>
        <w:t xml:space="preserve">The needle matters for the same reason as in (a): CHECK A’s zero is only</w:t>
      </w:r>
      <w:r>
        <w:t xml:space="preserve"> </w:t>
      </w:r>
      <w:r>
        <w:t xml:space="preserve">meaningful because the instrument was proven able to see 4/4 known links</w:t>
      </w:r>
      <w:r>
        <w:t xml:space="preserve"> </w:t>
      </w:r>
      <w:r>
        <w:t xml:space="preserve">through the same path. A blind sweep and a clean repo both report zero.</w:t>
      </w:r>
    </w:p>
    <w:bookmarkEnd w:id="11"/>
    <w:bookmarkStart w:id="12" w:name="X56b669ab7988204556733421c011c31a9cbffe2"/>
    <w:p>
      <w:pPr>
        <w:pStyle w:val="Heading2"/>
      </w:pPr>
      <w:r>
        <w:t xml:space="preserve">The two blockers the body’s last Progress line named are drained</w:t>
      </w:r>
    </w:p>
    <w:p>
      <w:pPr>
        <w:pStyle w:val="FirstParagraph"/>
      </w:pPr>
      <w:r>
        <w:t xml:space="preserve">That line read:</w:t>
      </w:r>
      <w:r>
        <w:t xml:space="preserve"> </w:t>
      </w:r>
      <w:r>
        <w:rPr>
          <w:i/>
          <w:iCs/>
        </w:rPr>
        <w:t xml:space="preserve">“20 stale rows and 2 untracked ids remain to drain,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gate is not wired into pre_build_verification.sh”</w:t>
      </w:r>
      <w:r>
        <w:t xml:space="preserve">. All three conditions are</w:t>
      </w:r>
      <w:r>
        <w:t xml:space="preserve"> </w:t>
      </w:r>
      <w:r>
        <w:t xml:space="preserve">now false.</w:t>
      </w:r>
      <w:r>
        <w:t xml:space="preserve"> </w:t>
      </w:r>
      <w:r>
        <w:rPr>
          <w:rStyle w:val="VerbatimChar"/>
        </w:rPr>
        <w:t xml:space="preserve">N_UNTRK &gt; 0</w:t>
      </w:r>
      <w:r>
        <w:t xml:space="preserve"> </w:t>
      </w:r>
      <w:r>
        <w:t xml:space="preserve">fails the gate (check_cm_closure_seam_binds.sh:617),</w:t>
      </w:r>
      <w:r>
        <w:t xml:space="preserve"> </w:t>
      </w:r>
      <w:r>
        <w:t xml:space="preserve">so CHECK A PASS entails untracked ids are zero as well as stale rows — a fact</w:t>
      </w:r>
      <w:r>
        <w:t xml:space="preserve"> </w:t>
      </w:r>
      <w:r>
        <w:t xml:space="preserve">the PASS message did not previously state, and which misled a reader of this</w:t>
      </w:r>
      <w:r>
        <w:t xml:space="preserve"> </w:t>
      </w:r>
      <w:r>
        <w:t xml:space="preserve">very closure before it was corrected to report both counts.</w:t>
      </w:r>
    </w:p>
    <w:bookmarkEnd w:id="12"/>
    <w:bookmarkStart w:id="13" w:name="X9346fb4883a92dc306944d7f8c421a7398bc839"/>
    <w:p>
      <w:pPr>
        <w:pStyle w:val="Heading2"/>
      </w:pPr>
      <w:r>
        <w:t xml:space="preserve">Honest boundary (§11.4.6) — what this does NOT claim</w:t>
      </w:r>
    </w:p>
    <w:p>
      <w:pPr>
        <w:pStyle w:val="FirstParagraph"/>
      </w:pPr>
      <w:r>
        <w:t xml:space="preserve">The seam only sees work that DECLARES its id in a commit message. A fix landing</w:t>
      </w:r>
      <w:r>
        <w:t xml:space="preserve"> </w:t>
      </w:r>
      <w:r>
        <w:t xml:space="preserve">under a message naming no item stays invisible to it. That is BOB-136’s own</w:t>
      </w:r>
      <w:r>
        <w:t xml:space="preserve"> </w:t>
      </w:r>
      <w:r>
        <w:t xml:space="preserve">second defect, and acceptance clause (d) scoped it out explicitly:</w:t>
      </w:r>
      <w:r>
        <w:t xml:space="preserve"> </w:t>
      </w:r>
      <w:r>
        <w:rPr>
          <w:i/>
          <w:iCs/>
        </w:rPr>
        <w:t xml:space="preserve">“this does</w:t>
      </w:r>
      <w:r>
        <w:rPr>
          <w:i/>
          <w:iCs/>
        </w:rPr>
        <w:t xml:space="preserve"> </w:t>
      </w:r>
      <w:r>
        <w:rPr>
          <w:i/>
          <w:iCs/>
        </w:rPr>
        <w:t xml:space="preserve">not claim to prevent all drift.”</w:t>
      </w:r>
      <w:r>
        <w:t xml:space="preserve"> </w:t>
      </w:r>
      <w:r>
        <w:t xml:space="preserve">Closing this item does not close that gap.</w:t>
      </w:r>
    </w:p>
    <w:bookmarkEnd w:id="13"/>
    <w:bookmarkStart w:id="14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VerbatimChar"/>
        </w:rPr>
        <w:t xml:space="preserve">bash scripts/pre_build/check_cm_closure_seam_binds.sh</w:t>
      </w:r>
      <w:r>
        <w:br/>
      </w:r>
      <w:r>
        <w:rPr>
          <w:rStyle w:val="VerbatimChar"/>
        </w:rPr>
        <w:t xml:space="preserve">bash tests/pre_build/test_check_cm_closure_seam_binds.sh    # 30/30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2026-09-01T16:24:52Z</dcterms:created>
  <dcterms:modified xsi:type="dcterms:W3CDTF">2026-09-01T16:24:52Z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