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df2da0d734cb745888927e0f69b0c09874a6fb"/>
    <w:p>
      <w:pPr>
        <w:pStyle w:val="Heading1"/>
      </w:pPr>
      <w:r>
        <w:t xml:space="preserve">BOB-166 — fix design notes (scoping only, nothing implemented)</w:t>
      </w:r>
    </w:p>
    <w:p>
      <w:pPr>
        <w:pStyle w:val="FirstParagraph"/>
      </w:pPr>
      <w:r>
        <w:t xml:space="preserve">Captured 2026-08-21 while the defect was fresh. This is a SCOPE for whoever</w:t>
      </w:r>
      <w:r>
        <w:t xml:space="preserve"> </w:t>
      </w:r>
      <w:r>
        <w:t xml:space="preserve">takes the item, not a patch. Everything below is read from source; nothing</w:t>
      </w:r>
      <w:r>
        <w:t xml:space="preserve"> </w:t>
      </w:r>
      <w:r>
        <w:t xml:space="preserve">was changed.</w:t>
      </w:r>
    </w:p>
    <w:bookmarkStart w:id="9" w:name="where-the-hole-is"/>
    <w:p>
      <w:pPr>
        <w:pStyle w:val="Heading2"/>
      </w:pPr>
      <w:r>
        <w:t xml:space="preserve">Where the hole is</w:t>
      </w:r>
    </w:p>
    <w:p>
      <w:pPr>
        <w:pStyle w:val="FirstParagraph"/>
      </w:pPr>
      <w:r>
        <w:rPr>
          <w:rStyle w:val="VerbatimChar"/>
        </w:rPr>
        <w:t xml:space="preserve">constitution/scripts/workable-items/cmd/workable-items/mutate.go</w:t>
      </w:r>
    </w:p>
    <w:p>
      <w:pPr>
        <w:pStyle w:val="SourceCode"/>
      </w:pPr>
      <w:r>
        <w:rPr>
          <w:rStyle w:val="VerbatimChar"/>
        </w:rPr>
        <w:t xml:space="preserve">main.go:123      case "update":  runUpdate(args[1:])</w:t>
      </w:r>
      <w:r>
        <w:br/>
      </w:r>
      <w:r>
        <w:rPr>
          <w:rStyle w:val="VerbatimChar"/>
        </w:rPr>
        <w:t xml:space="preserve">mutate.go:69     func runUpdate(...)</w:t>
      </w:r>
      <w:r>
        <w:br/>
      </w:r>
      <w:r>
        <w:rPr>
          <w:rStyle w:val="VerbatimChar"/>
        </w:rPr>
        <w:t xml:space="preserve">mutate.go:152    if set["status"] {</w:t>
      </w:r>
      <w:r>
        <w:br/>
      </w:r>
      <w:r>
        <w:rPr>
          <w:rStyle w:val="VerbatimChar"/>
        </w:rPr>
        <w:t xml:space="preserve">mutate.go:153        ns := normalizeStatus(*status)</w:t>
      </w:r>
      <w:r>
        <w:br/>
      </w:r>
      <w:r>
        <w:rPr>
          <w:rStyle w:val="VerbatimChar"/>
        </w:rPr>
        <w:t xml:space="preserve">mutate.go:154        // normalizeStatus never returns a non-closed-set value, but guard</w:t>
      </w:r>
      <w:r>
        <w:br/>
      </w:r>
      <w:r>
        <w:rPr>
          <w:rStyle w:val="VerbatimChar"/>
        </w:rPr>
        <w:t xml:space="preserve">mutate.go:155        // explicitly so a typo'd --status surfaces rather than silently</w:t>
      </w:r>
      <w:r>
        <w:br/>
      </w:r>
      <w:r>
        <w:rPr>
          <w:rStyle w:val="VerbatimChar"/>
        </w:rPr>
        <w:t xml:space="preserve">mutate.go:156        // mapping to Queued. ...</w:t>
      </w:r>
      <w:r>
        <w:br/>
      </w:r>
      <w:r>
        <w:rPr>
          <w:rStyle w:val="VerbatimChar"/>
        </w:rPr>
        <w:t xml:space="preserve">mutate.go:158        cur.Status = ns</w:t>
      </w:r>
      <w:r>
        <w:br/>
      </w:r>
      <w:r>
        <w:rPr>
          <w:rStyle w:val="VerbatimChar"/>
        </w:rPr>
        <w:t xml:space="preserve">mutate.go:159    }</w:t>
      </w:r>
    </w:p>
    <w:p>
      <w:pPr>
        <w:pStyle w:val="FirstParagraph"/>
      </w:pPr>
      <w:r>
        <w:t xml:space="preserve">The validation asks exactly one question —</w:t>
      </w:r>
      <w:r>
        <w:t xml:space="preserve"> </w:t>
      </w:r>
      <w:r>
        <w:rPr>
          <w:i/>
          <w:iCs/>
        </w:rPr>
        <w:t xml:space="preserve">is this a legal §11.4.15 value?</w:t>
      </w:r>
      <w:r>
        <w:t xml:space="preserve"> </w:t>
      </w:r>
      <w:r>
        <w:t xml:space="preserve">—</w:t>
      </w:r>
      <w:r>
        <w:t xml:space="preserve"> </w:t>
      </w:r>
      <w:r>
        <w:t xml:space="preserve">and a terminal status IS legal. Nothing asks the second question:</w:t>
      </w:r>
      <w:r>
        <w:t xml:space="preserve"> </w:t>
      </w:r>
      <w:r>
        <w:rPr>
          <w:i/>
          <w:iCs/>
        </w:rPr>
        <w:t xml:space="preserve">is this</w:t>
      </w:r>
      <w:r>
        <w:rPr>
          <w:i/>
          <w:iCs/>
        </w:rPr>
        <w:t xml:space="preserve"> </w:t>
      </w:r>
      <w:r>
        <w:rPr>
          <w:i/>
          <w:iCs/>
        </w:rPr>
        <w:t xml:space="preserve">status legal FOR THIS ROW’S LOCATION?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Fixed (→ Fixed.md)</w:t>
      </w:r>
      <w:r>
        <w:t xml:space="preserve"> </w:t>
      </w:r>
      <w:r>
        <w:t xml:space="preserve">is accepted on a</w:t>
      </w:r>
      <w:r>
        <w:t xml:space="preserve"> </w:t>
      </w:r>
      <w:r>
        <w:t xml:space="preserve">row whose</w:t>
      </w:r>
      <w:r>
        <w:t xml:space="preserve"> </w:t>
      </w:r>
      <w:r>
        <w:rPr>
          <w:rStyle w:val="VerbatimChar"/>
        </w:rPr>
        <w:t xml:space="preserve">current_location</w:t>
      </w:r>
      <w:r>
        <w:t xml:space="preserve"> </w:t>
      </w:r>
      <w:r>
        <w:t xml:space="preserve">is still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, producing the state §11.4.19</w:t>
      </w:r>
      <w:r>
        <w:t xml:space="preserve"> </w:t>
      </w:r>
      <w:r>
        <w:t xml:space="preserve">forbids.</w:t>
      </w:r>
    </w:p>
    <w:bookmarkEnd w:id="9"/>
    <w:bookmarkStart w:id="10" w:name="the-sibling-that-already-gets-this-right"/>
    <w:p>
      <w:pPr>
        <w:pStyle w:val="Heading2"/>
      </w:pPr>
      <w:r>
        <w:t xml:space="preserve">The sibling that already gets this right</w:t>
      </w:r>
    </w:p>
    <w:p>
      <w:pPr>
        <w:pStyle w:val="FirstParagraph"/>
      </w:pPr>
      <w:r>
        <w:rPr>
          <w:rStyle w:val="VerbatimChar"/>
        </w:rPr>
        <w:t xml:space="preserve">move</w:t>
      </w:r>
      <w:r>
        <w:t xml:space="preserve"> </w:t>
      </w:r>
      <w:r>
        <w:t xml:space="preserve">documents precisely the invariant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lacks (mutate.go:18-21):</w:t>
      </w:r>
    </w:p>
    <w:p>
      <w:pPr>
        <w:pStyle w:val="SourceCode"/>
      </w:pPr>
      <w:r>
        <w:rPr>
          <w:rStyle w:val="VerbatimChar"/>
        </w:rPr>
        <w:t xml:space="preserve">- move — the general REVERSE-OF-CLOSE relocation ... with an optional new</w:t>
      </w:r>
      <w:r>
        <w:br/>
      </w:r>
      <w:r>
        <w:rPr>
          <w:rStyle w:val="VerbatimChar"/>
        </w:rPr>
        <w:t xml:space="preserve">         status ... Refuses any destination/status pair that would create</w:t>
      </w:r>
      <w:r>
        <w:br/>
      </w:r>
      <w:r>
        <w:rPr>
          <w:rStyle w:val="VerbatimChar"/>
        </w:rPr>
        <w:t xml:space="preserve">         an INTEG-03 desync.</w:t>
      </w:r>
    </w:p>
    <w:p>
      <w:pPr>
        <w:pStyle w:val="FirstParagraph"/>
      </w:pPr>
      <w:r>
        <w:t xml:space="preserve">So the codebase already has the CONCEPT (a destination/status pair can be</w:t>
      </w:r>
      <w:r>
        <w:t xml:space="preserve"> </w:t>
      </w:r>
      <w:r>
        <w:t xml:space="preserve">invalid) and a name for the failure (INTEG-03 desync).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simply never</w:t>
      </w:r>
      <w:r>
        <w:t xml:space="preserve"> </w:t>
      </w:r>
      <w:r>
        <w:t xml:space="preserve">consults it. That matters for the fix: this is reusing an existing invariant</w:t>
      </w:r>
      <w:r>
        <w:t xml:space="preserve"> </w:t>
      </w:r>
      <w:r>
        <w:t xml:space="preserve">at a seam that skipped it, NOT inventing a new rule (§11.4.227 — an anchor’s</w:t>
      </w:r>
      <w:r>
        <w:t xml:space="preserve"> </w:t>
      </w:r>
      <w:r>
        <w:t xml:space="preserve">done state is its SEAM landing, not its text landing).</w:t>
      </w:r>
    </w:p>
    <w:bookmarkEnd w:id="10"/>
    <w:bookmarkStart w:id="11" w:name="shape-of-the-fix"/>
    <w:p>
      <w:pPr>
        <w:pStyle w:val="Heading2"/>
      </w:pPr>
      <w:r>
        <w:t xml:space="preserve">Shape of the fix</w:t>
      </w:r>
    </w:p>
    <w:p>
      <w:pPr>
        <w:numPr>
          <w:ilvl w:val="0"/>
          <w:numId w:val="100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runUpdate</w:t>
      </w:r>
      <w:r>
        <w:t xml:space="preserve">, after</w:t>
      </w:r>
      <w:r>
        <w:t xml:space="preserve"> </w:t>
      </w:r>
      <w:r>
        <w:rPr>
          <w:rStyle w:val="VerbatimChar"/>
        </w:rPr>
        <w:t xml:space="preserve">ns := normalizeStatus(*status)</w:t>
      </w:r>
      <w:r>
        <w:t xml:space="preserve">, refuse when</w:t>
      </w:r>
      <w:r>
        <w:t xml:space="preserve"> </w:t>
      </w:r>
      <w:r>
        <w:rPr>
          <w:rStyle w:val="VerbatimChar"/>
        </w:rPr>
        <w:t xml:space="preserve">ns</w:t>
      </w:r>
      <w:r>
        <w:t xml:space="preserve"> </w:t>
      </w:r>
      <w:r>
        <w:t xml:space="preserve">is</w:t>
      </w:r>
      <w:r>
        <w:t xml:space="preserve"> </w:t>
      </w:r>
      <w:r>
        <w:t xml:space="preserve">terminal AND the resulting location would be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. The message must name</w:t>
      </w:r>
      <w:r>
        <w:t xml:space="preserve"> </w:t>
      </w:r>
      <w:r>
        <w:t xml:space="preserve">the correct path rather than just saying no: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update: refusing to set terminal status "Fixed (→ Fixed.md)" on BOB-NNN</w:t>
      </w:r>
      <w:r>
        <w:br/>
      </w:r>
      <w:r>
        <w:rPr>
          <w:rStyle w:val="VerbatimChar"/>
        </w:rPr>
        <w:t xml:space="preserve">while it is located in Issues — a terminal status without the migration</w:t>
      </w:r>
      <w:r>
        <w:br/>
      </w:r>
      <w:r>
        <w:rPr>
          <w:rStyle w:val="VerbatimChar"/>
        </w:rPr>
        <w:t xml:space="preserve">leaves the row in the OPEN tracker (§11.4.19 requires the move to be</w:t>
      </w:r>
      <w:r>
        <w:br/>
      </w:r>
      <w:r>
        <w:rPr>
          <w:rStyle w:val="VerbatimChar"/>
        </w:rPr>
        <w:t xml:space="preserve">atomic). Use instead:</w:t>
      </w:r>
      <w:r>
        <w:br/>
      </w:r>
      <w:r>
        <w:rPr>
          <w:rStyle w:val="VerbatimChar"/>
        </w:rPr>
        <w:t xml:space="preserve">  workable-items close BOB-NNN --db &lt;p&gt; --status fixed --evidence &lt;path&gt;</w:t>
      </w:r>
      <w:r>
        <w:br/>
      </w:r>
      <w:r>
        <w:rPr>
          <w:rStyle w:val="VerbatimChar"/>
        </w:rPr>
        <w:t xml:space="preserve">or, if the row is genuinely already closed elsewhere:</w:t>
      </w:r>
      <w:r>
        <w:br/>
      </w:r>
      <w:r>
        <w:rPr>
          <w:rStyle w:val="VerbatimChar"/>
        </w:rPr>
        <w:t xml:space="preserve">  workable-items move --id BOB-NNN --db &lt;p&gt; --to Fixed --why &lt;text&gt;</w:t>
      </w:r>
    </w:p>
    <w:p>
      <w:pPr>
        <w:numPr>
          <w:ilvl w:val="0"/>
          <w:numId w:val="1000"/>
        </w:numPr>
      </w:pPr>
      <w:r>
        <w:t xml:space="preserve">Naming both paths matters: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right for a NEW closure (it demands</w:t>
      </w:r>
      <w:r>
        <w:t xml:space="preserve"> </w:t>
      </w:r>
      <w:r>
        <w:t xml:space="preserve">evidence),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for reconciling an already-closed row.</w:t>
      </w:r>
    </w:p>
    <w:p>
      <w:pPr>
        <w:numPr>
          <w:ilvl w:val="0"/>
          <w:numId w:val="1001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with a status↔location coherence invariant so the EXISTING</w:t>
      </w:r>
      <w:r>
        <w:t xml:space="preserve"> </w:t>
      </w:r>
      <w:r>
        <w:t xml:space="preserve">ten rows are caught, not just future writes. A guard on the write seam alone</w:t>
      </w:r>
      <w:r>
        <w:t xml:space="preserve"> </w:t>
      </w:r>
      <w:r>
        <w:t xml:space="preserve">leaves the current corpus silently wrong — the §11.4.146(D3) full-table-sweep</w:t>
      </w:r>
      <w:r>
        <w:t xml:space="preserve"> </w:t>
      </w:r>
      <w:r>
        <w:t xml:space="preserve">argument: a diff-only check misses rows written before the guard existed, and</w:t>
      </w:r>
      <w:r>
        <w:t xml:space="preserve"> </w:t>
      </w:r>
      <w:r>
        <w:t xml:space="preserve">raw-SQL writers bypass the CLI entirely.</w:t>
      </w:r>
    </w:p>
    <w:bookmarkEnd w:id="11"/>
    <w:bookmarkStart w:id="12" w:name="test-first-obligations-11.4.224"/>
    <w:p>
      <w:pPr>
        <w:pStyle w:val="Heading2"/>
      </w:pPr>
      <w:r>
        <w:t xml:space="preserve">Test-first obligations (§11.4.224)</w:t>
      </w:r>
    </w:p>
    <w:p>
      <w:pPr>
        <w:pStyle w:val="Compact"/>
        <w:numPr>
          <w:ilvl w:val="0"/>
          <w:numId w:val="1002"/>
        </w:numPr>
      </w:pPr>
      <w:r>
        <w:t xml:space="preserve">RED before the guard: a test that performs the exact reproduction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 --status 'Fixed (→ Fixed.md)'</w:t>
      </w:r>
      <w:r>
        <w:t xml:space="preserve"> </w:t>
      </w:r>
      <w:r>
        <w:t xml:space="preserve">on a Queued row in Issues) and asserts</w:t>
      </w:r>
      <w:r>
        <w:t xml:space="preserve"> </w:t>
      </w:r>
      <w:r>
        <w:t xml:space="preserve">the resulting row is NOT in the forbidden state. It must FAIL on today’s code —</w:t>
      </w:r>
      <w:r>
        <w:t xml:space="preserve"> </w:t>
      </w:r>
      <w:r>
        <w:t xml:space="preserve">verify that, do not assume it.</w:t>
      </w:r>
    </w:p>
    <w:p>
      <w:pPr>
        <w:pStyle w:val="Compact"/>
        <w:numPr>
          <w:ilvl w:val="0"/>
          <w:numId w:val="1002"/>
        </w:numPr>
      </w:pPr>
      <w:r>
        <w:t xml:space="preserve">Paired §1.1 mutation: remove the refusal; the test must go red. A guard never</w:t>
      </w:r>
      <w:r>
        <w:t xml:space="preserve"> </w:t>
      </w:r>
      <w:r>
        <w:t xml:space="preserve">observed failing is unvalidated instrumentation (§11.4.115(F)).</w:t>
      </w:r>
    </w:p>
    <w:p>
      <w:pPr>
        <w:pStyle w:val="Compact"/>
        <w:numPr>
          <w:ilvl w:val="0"/>
          <w:numId w:val="1002"/>
        </w:numPr>
      </w:pPr>
      <w:r>
        <w:t xml:space="preserve">NEGATIVE CONTROL, non-negotiable (§11.4.201(1)):</w:t>
      </w:r>
      <w:r>
        <w:t xml:space="preserve"> </w:t>
      </w:r>
      <w:r>
        <w:rPr>
          <w:rStyle w:val="VerbatimChar"/>
        </w:rPr>
        <w:t xml:space="preserve">update --status</w:t>
      </w:r>
      <w:r>
        <w:t xml:space="preserve"> </w:t>
      </w:r>
      <w:r>
        <w:t xml:space="preserve">on a</w:t>
      </w:r>
      <w:r>
        <w:t xml:space="preserve"> </w:t>
      </w:r>
      <w:r>
        <w:t xml:space="preserve">NON-terminal value must still work, and a terminal status on a row ALREADY in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must still work — otherwise the guard becomes a false-positive refusal</w:t>
      </w:r>
      <w:r>
        <w:t xml:space="preserve"> </w:t>
      </w:r>
      <w:r>
        <w:t xml:space="preserve">that blocks legitimate edits, which is a FAIL-bluff of equal severity to the</w:t>
      </w:r>
      <w:r>
        <w:t xml:space="preserve"> </w:t>
      </w:r>
      <w:r>
        <w:t xml:space="preserve">hole it closes.</w:t>
      </w:r>
    </w:p>
    <w:bookmarkEnd w:id="12"/>
    <w:bookmarkStart w:id="13" w:name="constraint-that-is-easy-to-miss"/>
    <w:p>
      <w:pPr>
        <w:pStyle w:val="Heading2"/>
      </w:pPr>
      <w:r>
        <w:t xml:space="preserve">Constraint that is easy to miss</w:t>
      </w:r>
    </w:p>
    <w:p>
      <w:pPr>
        <w:pStyle w:val="FirstParagraph"/>
      </w:pPr>
      <w:r>
        <w:t xml:space="preserve">This code lives in the CONSTITUTION submodule and is consumed by other projects</w:t>
      </w:r>
      <w:r>
        <w:t xml:space="preserve"> </w:t>
      </w:r>
      <w:r>
        <w:t xml:space="preserve">(§11.4.28). The fix must carry NO boba literal — no</w:t>
      </w:r>
      <w:r>
        <w:t xml:space="preserve"> </w:t>
      </w:r>
      <w:r>
        <w:rPr>
          <w:rStyle w:val="VerbatimChar"/>
        </w:rPr>
        <w:t xml:space="preserve">BOB-</w:t>
      </w:r>
      <w:r>
        <w:t xml:space="preserve"> </w:t>
      </w:r>
      <w:r>
        <w:t xml:space="preserve">prefix, no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path. It is a statement about the engine’s own closed-set</w:t>
      </w:r>
      <w:r>
        <w:t xml:space="preserve"> </w:t>
      </w:r>
      <w:r>
        <w:t xml:space="preserve">semantics, which is what makes it safe to land there. Per §11.4.26 the submodule</w:t>
      </w:r>
      <w:r>
        <w:t xml:space="preserve"> </w:t>
      </w:r>
      <w:r>
        <w:t xml:space="preserve">must be fetched and pulled BEFORE editing, and pushed to all its upstreams after.</w:t>
      </w:r>
    </w:p>
    <w:bookmarkEnd w:id="13"/>
    <w:bookmarkStart w:id="14" w:name="evidence-already-captured"/>
    <w:p>
      <w:pPr>
        <w:pStyle w:val="Heading2"/>
      </w:pPr>
      <w:r>
        <w:t xml:space="preserve">Evidence already captured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evidence_absence_measurement_20260821.log</w:t>
      </w:r>
      <w:r>
        <w:t xml:space="preserve"> </w:t>
      </w:r>
      <w:r>
        <w:t xml:space="preserve">— all ten rows have ZERO evidence</w:t>
      </w:r>
      <w:r>
        <w:t xml:space="preserve"> </w:t>
      </w:r>
      <w:r>
        <w:t xml:space="preserve">rows, control-needled against two rows closed via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(1 each). Splits the</w:t>
      </w:r>
      <w:r>
        <w:t xml:space="preserve"> </w:t>
      </w:r>
      <w:r>
        <w:t xml:space="preserve">drain into two classes: BOB-087/BOB-129 have unrecorded artifacts on disk;</w:t>
      </w:r>
      <w:r>
        <w:t xml:space="preserve"> </w:t>
      </w:r>
      <w:r>
        <w:t xml:space="preserve">eight have nothing.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2026-09-01T16:26:29Z</dcterms:created>
  <dcterms:modified xsi:type="dcterms:W3CDTF">2026-09-01T16:26:29Z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