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3" w:name="X76276a1ae3f5ec57cba664a2587143c55322a20"/>
    <w:p>
      <w:pPr>
        <w:pStyle w:val="Heading1"/>
      </w:pPr>
      <w:r>
        <w:t xml:space="preserve">DRAFT — Universal constitution rule: docs/features Status set with video-recording confirmation</w:t>
      </w:r>
    </w:p>
    <w:p>
      <w:pPr>
        <w:pStyle w:val="FirstParagraph"/>
      </w:pPr>
      <w:r>
        <w:rPr>
          <w:b/>
          <w:bCs/>
        </w:rPr>
        <w:t xml:space="preserve">Revision: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Last modified:</w:t>
      </w:r>
      <w:r>
        <w:t xml:space="preserve"> </w:t>
      </w:r>
      <w:r>
        <w:t xml:space="preserve">2026-06-15T00:00:00Z</w:t>
      </w:r>
      <w:r>
        <w:t xml:space="preserve"> </w:t>
      </w:r>
      <w:r>
        <w:rPr>
          <w:b/>
          <w:bCs/>
        </w:rPr>
        <w:t xml:space="preserve">Status:</w:t>
      </w:r>
      <w:r>
        <w:t xml:space="preserve"> </w:t>
      </w:r>
      <w:r>
        <w:t xml:space="preserve">DRAFT — NOT applied. Constitution edits require the §11.4.26 fetch-first workflow + §11.4.142 independent review, run by the main agent.</w:t>
      </w:r>
    </w:p>
    <w:p>
      <w:r>
        <w:pict>
          <v:rect style="width:0;height:1.5pt" o:hralign="center" o:hrstd="t" o:hr="t"/>
        </w:pict>
      </w:r>
    </w:p>
    <w:bookmarkStart w:id="9" w:name="Xfa6ef2063d15bb71e1220783276693bb22403f7"/>
    <w:p>
      <w:pPr>
        <w:pStyle w:val="Heading2"/>
      </w:pPr>
      <w:r>
        <w:t xml:space="preserve">CRITICAL FINDING — the requested rule is ALREADY in the constitution (near-total overlap)</w:t>
      </w:r>
    </w:p>
    <w:p>
      <w:pPr>
        <w:pStyle w:val="FirstParagraph"/>
      </w:pPr>
      <w:r>
        <w:t xml:space="preserve">Before drafting a new anchor, I reconciled the operator’s PART 1 request against the existing</w:t>
      </w:r>
      <w:r>
        <w:t xml:space="preserve"> </w:t>
      </w:r>
      <w:r>
        <w:t xml:space="preserve">constitution (</w:t>
      </w:r>
      <w:r>
        <w:rPr>
          <w:rStyle w:val="VerbatimChar"/>
        </w:rPr>
        <w:t xml:space="preserve">constitution/Constitution.md</w:t>
      </w:r>
      <w:r>
        <w:t xml:space="preserve">). The request is</w:t>
      </w:r>
      <w:r>
        <w:t xml:space="preserve"> </w:t>
      </w:r>
      <w:r>
        <w:rPr>
          <w:b/>
          <w:bCs/>
        </w:rPr>
        <w:t xml:space="preserve">already covered, almost verbatim</w:t>
      </w:r>
      <w:r>
        <w:t xml:space="preserve">, by</w:t>
      </w:r>
      <w:r>
        <w:t xml:space="preserve"> </w:t>
      </w:r>
      <w:r>
        <w:t xml:space="preserve">three anchors that were all added TODAY (2026-06-15):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§11.4.153</w:t>
      </w:r>
      <w:r>
        <w:t xml:space="preserve"> </w:t>
      </w:r>
      <w:r>
        <w:t xml:space="preserve">—</w:t>
      </w:r>
      <w:r>
        <w:t xml:space="preserve"> </w:t>
      </w:r>
      <w:r>
        <w:t xml:space="preserve">“Comprehensive per-feature Status + Status_Summary document set with mandatory</w:t>
      </w:r>
      <w:r>
        <w:t xml:space="preserve"> </w:t>
      </w:r>
      <w:r>
        <w:t xml:space="preserve">video-recording confirmation”</w:t>
      </w:r>
      <w:r>
        <w:t xml:space="preserve">. Mandates a</w:t>
      </w:r>
      <w:r>
        <w:t xml:space="preserve"> </w:t>
      </w:r>
      <w:r>
        <w:rPr>
          <w:rStyle w:val="VerbatimChar"/>
        </w:rPr>
        <w:t xml:space="preserve">docs/features/</w:t>
      </w:r>
      <w:r>
        <w:t xml:space="preserve"> </w:t>
      </w:r>
      <w:r>
        <w:t xml:space="preserve">Status + Status_Summary set covering</w:t>
      </w:r>
      <w:r>
        <w:t xml:space="preserve"> </w:t>
      </w:r>
      <w:r>
        <w:t xml:space="preserve">EVERY system component, EVERY client app/binary/surface (TUI/CLI/Web/desktop/mobile/API/gRPC/library/</w:t>
      </w:r>
      <w:r>
        <w:t xml:space="preserve"> </w:t>
      </w:r>
      <w:r>
        <w:t xml:space="preserve">submodule/infra), and EVERY feature (incl. features ported from incorporated CLI-agents / submodule</w:t>
      </w:r>
      <w:r>
        <w:t xml:space="preserve"> </w:t>
      </w:r>
      <w:r>
        <w:t xml:space="preserve">catalogue). Per-feature fields:</w:t>
      </w:r>
      <w:r>
        <w:t xml:space="preserve"> </w:t>
      </w:r>
      <w:r>
        <w:rPr>
          <w:b/>
          <w:bCs/>
        </w:rPr>
        <w:t xml:space="preserve">Component, Feature, Category, Implementation, Wiring, Real-use,</w:t>
      </w:r>
      <w:r>
        <w:rPr>
          <w:b/>
          <w:bCs/>
        </w:rPr>
        <w:t xml:space="preserve"> </w:t>
      </w:r>
      <w:r>
        <w:rPr>
          <w:b/>
          <w:bCs/>
        </w:rPr>
        <w:t xml:space="preserve">Tests-coverage, Validation (PASS/FAIL/SKIP/PENDING_FORENSICS/OPERATOR-BLOCKED), and Video-recording</w:t>
      </w:r>
      <w:r>
        <w:rPr>
          <w:b/>
          <w:bCs/>
        </w:rPr>
        <w:t xml:space="preserve"> </w:t>
      </w:r>
      <w:r>
        <w:rPr>
          <w:b/>
          <w:bCs/>
        </w:rPr>
        <w:t xml:space="preserve">confirmation</w:t>
      </w:r>
      <w:r>
        <w:t xml:space="preserve"> </w:t>
      </w:r>
      <w:r>
        <w:t xml:space="preserve">(path to captured real-use video). Clause (4) is the</w:t>
      </w:r>
      <w:r>
        <w:t xml:space="preserve"> </w:t>
      </w:r>
      <w:r>
        <w:rPr>
          <w:b/>
          <w:bCs/>
        </w:rPr>
        <w:t xml:space="preserve">video-analysis remediation</w:t>
      </w:r>
      <w:r>
        <w:rPr>
          <w:b/>
          <w:bCs/>
        </w:rPr>
        <w:t xml:space="preserve"> </w:t>
      </w:r>
      <w:r>
        <w:rPr>
          <w:b/>
          <w:bCs/>
        </w:rPr>
        <w:t xml:space="preserve">loop</w:t>
      </w:r>
      <w:r>
        <w:t xml:space="preserve"> </w:t>
      </w:r>
      <w:r>
        <w:t xml:space="preserve">(analyse → systematic-debug → fix → retest → re-record). Clause (5) is docs_chain + §11.4.86</w:t>
      </w:r>
      <w:r>
        <w:t xml:space="preserve"> </w:t>
      </w:r>
      <w:r>
        <w:t xml:space="preserve">fingerprint always-in-sync. Clause (6) is</w:t>
      </w:r>
      <w:r>
        <w:t xml:space="preserve"> </w:t>
      </w:r>
      <w:r>
        <w:rPr>
          <w:b/>
          <w:bCs/>
        </w:rPr>
        <w:t xml:space="preserve">HTML + PDF + DOCX</w:t>
      </w:r>
      <w:r>
        <w:t xml:space="preserve"> </w:t>
      </w:r>
      <w:r>
        <w:t xml:space="preserve">four-format export.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§11.4.154</w:t>
      </w:r>
      <w:r>
        <w:t xml:space="preserve"> </w:t>
      </w:r>
      <w:r>
        <w:t xml:space="preserve">— Window-scoped capture (NOT whole-screen) + fresh-corpus rotation (remove own prior</w:t>
      </w:r>
      <w:r>
        <w:t xml:space="preserve"> </w:t>
      </w:r>
      <w:r>
        <w:t xml:space="preserve">in-scope recordings when a new run starts).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§11.4.155</w:t>
      </w:r>
      <w:r>
        <w:t xml:space="preserve"> </w:t>
      </w:r>
      <w:r>
        <w:t xml:space="preserve">— Project-name-prefixed recording filenames (</w:t>
      </w:r>
      <w:r>
        <w:rPr>
          <w:rStyle w:val="VerbatimChar"/>
        </w:rPr>
        <w:t xml:space="preserve">&lt;PREFIX&gt;---&lt;scope&gt;---&lt;run-id&gt;.&lt;ext&gt;</w:t>
      </w:r>
      <w:r>
        <w:t xml:space="preserve">),</w:t>
      </w:r>
      <w:r>
        <w:t xml:space="preserve"> </w:t>
      </w:r>
      <w:r>
        <w:t xml:space="preserve">prefix resolved via</w:t>
      </w:r>
      <w:r>
        <w:t xml:space="preserve"> </w:t>
      </w:r>
      <w:r>
        <w:rPr>
          <w:rStyle w:val="VerbatimChar"/>
        </w:rPr>
        <w:t xml:space="preserve">HELIX_RELEASE_PREFIX</w:t>
      </w:r>
      <w:r>
        <w:t xml:space="preserve"> </w:t>
      </w:r>
      <w:r>
        <w:t xml:space="preserve">env (</w:t>
      </w:r>
      <w:r>
        <w:rPr>
          <w:rStyle w:val="VerbatimChar"/>
        </w:rPr>
        <w:t xml:space="preserve">.env</w:t>
      </w:r>
      <w:r>
        <w:t xml:space="preserve">) → fallback lowercased snake_case repo-dir name.</w:t>
      </w:r>
    </w:p>
    <w:p>
      <w:pPr>
        <w:pStyle w:val="FirstParagraph"/>
      </w:pPr>
      <w:r>
        <w:rPr>
          <w:b/>
          <w:bCs/>
        </w:rPr>
        <w:t xml:space="preserve">Mapping of the operator’s PART 1 request to existing anchors: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Operator’s PART 1 ask</w:t>
            </w:r>
          </w:p>
        </w:tc>
        <w:tc>
          <w:tcPr/>
          <w:p>
            <w:pPr>
              <w:pStyle w:val="Compact"/>
            </w:pPr>
            <w:r>
              <w:t xml:space="preserve">Already covered by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Status + Status_Summary under</w:t>
            </w:r>
            <w:r>
              <w:t xml:space="preserve"> </w:t>
            </w:r>
            <w:r>
              <w:rPr>
                <w:rStyle w:val="VerbatimChar"/>
              </w:rPr>
              <w:t xml:space="preserve">docs/features</w:t>
            </w:r>
            <w:r>
              <w:t xml:space="preserve"> </w:t>
            </w:r>
            <w:r>
              <w:t xml:space="preserve">for ALL components/client-apps/features</w:t>
            </w:r>
          </w:p>
        </w:tc>
        <w:tc>
          <w:tcPr/>
          <w:p>
            <w:pPr>
              <w:pStyle w:val="Compact"/>
            </w:pPr>
            <w:r>
              <w:t xml:space="preserve">§11.4.153 (1)(7)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Columns: development / wiring / real-use / tests-coverage / validation / verification</w:t>
            </w:r>
          </w:p>
        </w:tc>
        <w:tc>
          <w:tcPr/>
          <w:p>
            <w:pPr>
              <w:pStyle w:val="Compact"/>
            </w:pPr>
            <w:r>
              <w:t xml:space="preserve">§11.4.153 (2) — Implementation/Wiring/Real-use/Tests-coverage/Validation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MANDATORY video-recording-confirmation column</w:t>
            </w:r>
          </w:p>
        </w:tc>
        <w:tc>
          <w:tcPr/>
          <w:p>
            <w:pPr>
              <w:pStyle w:val="Compact"/>
            </w:pPr>
            <w:r>
              <w:t xml:space="preserve">§11.4.153 (2)(3) —</w:t>
            </w:r>
            <w:r>
              <w:t xml:space="preserve"> </w:t>
            </w:r>
            <w:r>
              <w:t xml:space="preserve">“Video-recording confirmation”</w:t>
            </w:r>
            <w:r>
              <w:t xml:space="preserve"> </w:t>
            </w:r>
            <w:r>
              <w:t xml:space="preserve">field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Real use-case playthrough recorded</w:t>
            </w:r>
          </w:p>
        </w:tc>
        <w:tc>
          <w:tcPr/>
          <w:p>
            <w:pPr>
              <w:pStyle w:val="Compact"/>
            </w:pPr>
            <w:r>
              <w:t xml:space="preserve">§11.4.153 (3) + §11.4.154 (window-scoped)</w:t>
            </w:r>
          </w:p>
        </w:tc>
      </w:tr>
      <w:tr>
        <w:tc>
          <w:tcPr/>
          <w:p>
            <w:pPr>
              <w:pStyle w:val="Compact"/>
            </w:pPr>
            <w:r>
              <w:t xml:space="preserve">Analyzed by an AI ensemble, problems fixed/retested</w:t>
            </w:r>
          </w:p>
        </w:tc>
        <w:tc>
          <w:tcPr/>
          <w:p>
            <w:pPr>
              <w:pStyle w:val="Compact"/>
            </w:pPr>
            <w:r>
              <w:t xml:space="preserve">§11.4.153 (4) — video-analysis remediation loop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Exported to PDF/DOCX/HTML</w:t>
            </w:r>
          </w:p>
        </w:tc>
        <w:tc>
          <w:tcPr/>
          <w:p>
            <w:pPr>
              <w:pStyle w:val="Compact"/>
            </w:pPr>
            <w:r>
              <w:t xml:space="preserve">§11.4.153 (6) — four-format export (adds DOCX)</w:t>
            </w:r>
          </w:p>
        </w:tc>
      </w:tr>
      <w:tr>
        <w:tc>
          <w:tcPr/>
          <w:p>
            <w:pPr>
              <w:pStyle w:val="Compact"/>
            </w:pPr>
            <w:r>
              <w:t xml:space="preserve">Tightly wired via docs_chain so no feature missed</w:t>
            </w:r>
          </w:p>
        </w:tc>
        <w:tc>
          <w:tcPr/>
          <w:p>
            <w:pPr>
              <w:pStyle w:val="Compact"/>
            </w:pPr>
            <w:r>
              <w:t xml:space="preserve">§11.4.153 (5) — docs_chain + §11.4.86 fingerprint</w:t>
            </w:r>
          </w:p>
        </w:tc>
      </w:tr>
    </w:tbl>
    <w:p>
      <w:pPr>
        <w:pStyle w:val="BodyText"/>
      </w:pPr>
      <w:r>
        <w:rPr>
          <w:b/>
          <w:bCs/>
        </w:rPr>
        <w:t xml:space="preserve">Conclusion (recommendation to the main agent):</w:t>
      </w:r>
      <w:r>
        <w:t xml:space="preserve"> </w:t>
      </w:r>
      <w:r>
        <w:t xml:space="preserve">Do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add a duplicate §11.4.156. Per §11.4.17</w:t>
      </w:r>
      <w:r>
        <w:t xml:space="preserve"> </w:t>
      </w:r>
      <w:r>
        <w:t xml:space="preserve">classification discipline and the constitution’s own no-duplication principle, a new universal anchor</w:t>
      </w:r>
      <w:r>
        <w:t xml:space="preserve"> </w:t>
      </w:r>
      <w:r>
        <w:t xml:space="preserve">restating §11.4.153/.154/.155 would be redundant and a maintenance hazard.</w:t>
      </w:r>
    </w:p>
    <w:p>
      <w:pPr>
        <w:pStyle w:val="BodyText"/>
      </w:pPr>
      <w:r>
        <w:t xml:space="preserve">The only genuinely-new element in the operator’s phrasing vs. the existing text is the explicit</w:t>
      </w:r>
      <w:r>
        <w:t xml:space="preserve"> </w:t>
      </w:r>
      <w:r>
        <w:rPr>
          <w:b/>
          <w:bCs/>
        </w:rPr>
        <w:t xml:space="preserve">“verification”</w:t>
      </w:r>
      <w:r>
        <w:rPr>
          <w:b/>
          <w:bCs/>
        </w:rPr>
        <w:t xml:space="preserve"> </w:t>
      </w:r>
      <w:r>
        <w:rPr>
          <w:b/>
          <w:bCs/>
        </w:rPr>
        <w:t xml:space="preserve">column as distinct from</w:t>
      </w:r>
      <w:r>
        <w:rPr>
          <w:b/>
          <w:bCs/>
        </w:rPr>
        <w:t xml:space="preserve"> </w:t>
      </w:r>
      <w:r>
        <w:rPr>
          <w:b/>
          <w:bCs/>
        </w:rPr>
        <w:t xml:space="preserve">“validation”</w:t>
      </w:r>
      <w:r>
        <w:t xml:space="preserve">, and the explicit naming of the</w:t>
      </w:r>
      <w:r>
        <w:t xml:space="preserve"> </w:t>
      </w:r>
      <w:r>
        <w:rPr>
          <w:b/>
          <w:bCs/>
        </w:rPr>
        <w:t xml:space="preserve">“AI ensemble”</w:t>
      </w:r>
      <w:r>
        <w:t xml:space="preserve"> </w:t>
      </w:r>
      <w:r>
        <w:t xml:space="preserve">(the existing §11.4.153 (4) says</w:t>
      </w:r>
      <w:r>
        <w:t xml:space="preserve"> </w:t>
      </w:r>
      <w:r>
        <w:t xml:space="preserve">“analysed”</w:t>
      </w:r>
      <w:r>
        <w:t xml:space="preserve"> </w:t>
      </w:r>
      <w:r>
        <w:t xml:space="preserve">+ §11.4.102 loop but does not name an ensemble). These are</w:t>
      </w:r>
      <w:r>
        <w:t xml:space="preserve"> </w:t>
      </w:r>
      <w:r>
        <w:t xml:space="preserve">small deltas. Two options for the main agent (recommend Option A):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Option A (RECOMMENDED) — project-side instantiation only, no new universal anchor.</w:t>
      </w:r>
      <w:r>
        <w:t xml:space="preserve"> </w:t>
      </w:r>
      <w:r>
        <w:t xml:space="preserve">§11.4.153 already says (per §11.4.35)</w:t>
      </w:r>
      <w:r>
        <w:t xml:space="preserve"> </w:t>
      </w:r>
      <w:r>
        <w:t xml:space="preserve">“the consuming project supplies its concrete</w:t>
      </w:r>
      <w:r>
        <w:t xml:space="preserve"> </w:t>
      </w:r>
      <w:r>
        <w:rPr>
          <w:rStyle w:val="VerbatimChar"/>
        </w:rPr>
        <w:t xml:space="preserve">docs/features/</w:t>
      </w:r>
      <w:r>
        <w:t xml:space="preserve"> </w:t>
      </w:r>
      <w:r>
        <w:t xml:space="preserve">layout, feature roster source, recording path, and DOCX exporter”</w:t>
      </w:r>
      <w:r>
        <w:t xml:space="preserve">. So Boba should just INSTANTIATE</w:t>
      </w:r>
      <w:r>
        <w:t xml:space="preserve"> </w:t>
      </w:r>
      <w:r>
        <w:t xml:space="preserve">§11.4.153/.154/.155 in its own</w:t>
      </w:r>
      <w:r>
        <w:t xml:space="preserve"> </w:t>
      </w:r>
      <w:r>
        <w:rPr>
          <w:rStyle w:val="VerbatimChar"/>
        </w:rPr>
        <w:t xml:space="preserve">docs/features/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CLAUDE.md</w:t>
      </w:r>
      <w:r>
        <w:t xml:space="preserve">/</w:t>
      </w:r>
      <w:r>
        <w:rPr>
          <w:rStyle w:val="VerbatimChar"/>
        </w:rPr>
        <w:t xml:space="preserve">AGENTS.md</w:t>
      </w:r>
      <w:r>
        <w:t xml:space="preserve"> </w:t>
      </w:r>
      <w:r>
        <w:t xml:space="preserve">project layer — including</w:t>
      </w:r>
      <w:r>
        <w:t xml:space="preserve"> </w:t>
      </w:r>
      <w:r>
        <w:t xml:space="preserve">naming the HelixAgent ensemble as its concrete video-analysis mechanism and adding a separate</w:t>
      </w:r>
      <w:r>
        <w:t xml:space="preserve"> </w:t>
      </w:r>
      <w:r>
        <w:t xml:space="preserve">“Verification”</w:t>
      </w:r>
      <w:r>
        <w:t xml:space="preserve"> </w:t>
      </w:r>
      <w:r>
        <w:t xml:space="preserve">column if the operator wants validation/verification split. No constitution change.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Option B — tiny refinement to §11.4.153 only (NOT a new §11.4.156).</w:t>
      </w:r>
      <w:r>
        <w:t xml:space="preserve"> </w:t>
      </w:r>
      <w:r>
        <w:t xml:space="preserve">If the operator insists the</w:t>
      </w:r>
      <w:r>
        <w:t xml:space="preserve"> </w:t>
      </w:r>
      <w:r>
        <w:t xml:space="preserve">universal text must (i) split Validation vs Verification into two columns and (ii) explicitly name an</w:t>
      </w:r>
      <w:r>
        <w:t xml:space="preserve"> </w:t>
      </w:r>
      <w:r>
        <w:t xml:space="preserve">AI-ensemble video-analysis layer, add ONE sentence to §11.4.153 clause (2) and clause (4). This is a</w:t>
      </w:r>
      <w:r>
        <w:t xml:space="preserve"> </w:t>
      </w:r>
      <w:r>
        <w:t xml:space="preserve">§11.4.73 secondary/revision-level refinement, not a primary new anchor. Draft sentence below.</w:t>
      </w:r>
    </w:p>
    <w:p>
      <w:r>
        <w:pict>
          <v:rect style="width:0;height:1.5pt" o:hralign="center" o:hrstd="t" o:hr="t"/>
        </w:pict>
      </w:r>
    </w:p>
    <w:bookmarkEnd w:id="9"/>
    <w:bookmarkStart w:id="10" w:name="X5b0014730cc840b2f27e4b2ff8d6db190a2a710"/>
    <w:p>
      <w:pPr>
        <w:pStyle w:val="Heading2"/>
      </w:pPr>
      <w:r>
        <w:t xml:space="preserve">DRAFT refinement sentence for §11.4.153 (Option B only — apply via §11.4.26 workflow)</w:t>
      </w:r>
    </w:p>
    <w:p>
      <w:pPr>
        <w:pStyle w:val="BlockText"/>
      </w:pPr>
      <w:r>
        <w:t xml:space="preserve">Clause (2) addendum: each feature row’s evidence axis MAY be split into a</w:t>
      </w:r>
      <w:r>
        <w:t xml:space="preserve"> </w:t>
      </w:r>
      <w:r>
        <w:rPr>
          <w:b/>
          <w:bCs/>
        </w:rPr>
        <w:t xml:space="preserve">Validation</w:t>
      </w:r>
      <w:r>
        <w:t xml:space="preserve"> </w:t>
      </w:r>
      <w:r>
        <w:t xml:space="preserve">column</w:t>
      </w:r>
      <w:r>
        <w:t xml:space="preserve"> </w:t>
      </w:r>
      <w:r>
        <w:t xml:space="preserve">(the test/gate verdict — PASS/FAIL/SKIP/PENDING_FORENSICS/OPERATOR-BLOCKED per §11.4.45) AND a</w:t>
      </w:r>
      <w:r>
        <w:t xml:space="preserve"> </w:t>
      </w:r>
      <w:r>
        <w:t xml:space="preserve">distinct</w:t>
      </w:r>
      <w:r>
        <w:t xml:space="preserve"> </w:t>
      </w:r>
      <w:r>
        <w:rPr>
          <w:b/>
          <w:bCs/>
        </w:rPr>
        <w:t xml:space="preserve">Verification</w:t>
      </w:r>
      <w:r>
        <w:t xml:space="preserve"> </w:t>
      </w:r>
      <w:r>
        <w:t xml:space="preserve">column (independent confirmation the feature works for the end user via</w:t>
      </w:r>
      <w:r>
        <w:t xml:space="preserve"> </w:t>
      </w:r>
      <w:r>
        <w:t xml:space="preserve">captured real-use evidence per §11.4.69/§11.4.107 — the video-recording confirmation IS the primary</w:t>
      </w:r>
      <w:r>
        <w:t xml:space="preserve"> </w:t>
      </w:r>
      <w:r>
        <w:t xml:space="preserve">verification artefact); a project that maintains both columns MUST keep them consistent (a Validation</w:t>
      </w:r>
      <w:r>
        <w:t xml:space="preserve"> </w:t>
      </w:r>
      <w:r>
        <w:t xml:space="preserve">PASS with a Verification FAIL is a §11.4.4 test-interrupt, never a confirmed row).</w:t>
      </w:r>
    </w:p>
    <w:p>
      <w:pPr>
        <w:pStyle w:val="BlockText"/>
      </w:pPr>
      <w:r>
        <w:t xml:space="preserve">Clause (4) addendum: the per-video analysis MAY be performed by an AI-ensemble video-analysis layer</w:t>
      </w:r>
      <w:r>
        <w:t xml:space="preserve"> </w:t>
      </w:r>
      <w:r>
        <w:t xml:space="preserve">(e.g. an incorporated</w:t>
      </w:r>
      <w:r>
        <w:t xml:space="preserve"> </w:t>
      </w:r>
      <w:r>
        <w:rPr>
          <w:rStyle w:val="VerbatimChar"/>
        </w:rPr>
        <w:t xml:space="preserve">vasic-digital</w:t>
      </w:r>
      <w:r>
        <w:t xml:space="preserve">/</w:t>
      </w:r>
      <w:r>
        <w:rPr>
          <w:rStyle w:val="VerbatimChar"/>
        </w:rPr>
        <w:t xml:space="preserve">HelixDevelopment</w:t>
      </w:r>
      <w:r>
        <w:t xml:space="preserve"> </w:t>
      </w:r>
      <w:r>
        <w:t xml:space="preserve">HelixAgent ensemble per §11.4.74) so the</w:t>
      </w:r>
      <w:r>
        <w:t xml:space="preserve"> </w:t>
      </w:r>
      <w:r>
        <w:t xml:space="preserve">recognition of the video’s presented data is itself multi-model and anti-bluff; the ensemble’s verdict</w:t>
      </w:r>
      <w:r>
        <w:t xml:space="preserve"> </w:t>
      </w:r>
      <w:r>
        <w:t xml:space="preserve">is captured evidence per §11.4.5/§11.4.69 and any defect it surfaces drives the §11.4.102 → fix →</w:t>
      </w:r>
      <w:r>
        <w:t xml:space="preserve"> </w:t>
      </w:r>
      <w:r>
        <w:t xml:space="preserve">§11.4.146 retest → re-record loop to a clean GO per §11.4.134. The ensemble layer COMPLEMENTS, never</w:t>
      </w:r>
      <w:r>
        <w:t xml:space="preserve"> </w:t>
      </w:r>
      <w:r>
        <w:t xml:space="preserve">replaces, the §11.4.107 liveness battery + §11.4.137 content-correctness oracle the row also cites.</w:t>
      </w:r>
    </w:p>
    <w:p>
      <w:pPr>
        <w:pStyle w:val="FirstParagraph"/>
      </w:pPr>
      <w:r>
        <w:t xml:space="preserve">Classification (per §11.4.17):</w:t>
      </w:r>
      <w:r>
        <w:t xml:space="preserve"> </w:t>
      </w:r>
      <w:r>
        <w:rPr>
          <w:b/>
          <w:bCs/>
        </w:rPr>
        <w:t xml:space="preserve">universal</w:t>
      </w:r>
      <w:r>
        <w:t xml:space="preserve"> </w:t>
      </w:r>
      <w:r>
        <w:t xml:space="preserve">— generic across any project; references no project-specific</w:t>
      </w:r>
      <w:r>
        <w:t xml:space="preserve"> </w:t>
      </w:r>
      <w:r>
        <w:t xml:space="preserve">hardware/vendor. But it is a REFINEMENT of §11.4.153, not a standalone new anchor → it stays inside</w:t>
      </w:r>
      <w:r>
        <w:t xml:space="preserve"> </w:t>
      </w:r>
      <w:r>
        <w:t xml:space="preserve">§11.4.153, bumping the Constitution</w:t>
      </w:r>
      <w:r>
        <w:t xml:space="preserve"> </w:t>
      </w:r>
      <w:r>
        <w:rPr>
          <w:rStyle w:val="VerbatimChar"/>
        </w:rPr>
        <w:t xml:space="preserve">Revision</w:t>
      </w:r>
      <w:r>
        <w:t xml:space="preserve"> </w:t>
      </w:r>
      <w:r>
        <w:t xml:space="preserve">(§11.4.73 secondary-version bump), NOT consuming the next</w:t>
      </w:r>
      <w:r>
        <w:t xml:space="preserve"> </w:t>
      </w:r>
      <w:r>
        <w:t xml:space="preserve">free anchor number.</w:t>
      </w:r>
    </w:p>
    <w:p>
      <w:r>
        <w:pict>
          <v:rect style="width:0;height:1.5pt" o:hralign="center" o:hrstd="t" o:hr="t"/>
        </w:pict>
      </w:r>
    </w:p>
    <w:bookmarkEnd w:id="10"/>
    <w:bookmarkStart w:id="11" w:name="X4ba1cda5086effc62af048798ae8ea548ce370c"/>
    <w:p>
      <w:pPr>
        <w:pStyle w:val="Heading2"/>
      </w:pPr>
      <w:r>
        <w:t xml:space="preserve">Next free anchor number (if Option B is rejected and the operator truly wants a NEW anchor)</w:t>
      </w:r>
    </w:p>
    <w:p>
      <w:pPr>
        <w:pStyle w:val="FirstParagraph"/>
      </w:pPr>
      <w:r>
        <w:t xml:space="preserve">Latest existing anchor in</w:t>
      </w:r>
      <w:r>
        <w:t xml:space="preserve"> </w:t>
      </w:r>
      <w:r>
        <w:rPr>
          <w:rStyle w:val="VerbatimChar"/>
        </w:rPr>
        <w:t xml:space="preserve">constitution/Constitution.md</w:t>
      </w:r>
      <w:r>
        <w:t xml:space="preserve"> </w:t>
      </w:r>
      <w:r>
        <w:t xml:space="preserve">=</w:t>
      </w:r>
      <w:r>
        <w:t xml:space="preserve"> </w:t>
      </w:r>
      <w:r>
        <w:rPr>
          <w:b/>
          <w:bCs/>
        </w:rPr>
        <w:t xml:space="preserve">§11.4.155</w:t>
      </w:r>
      <w:r>
        <w:t xml:space="preserve">. The next free number is</w:t>
      </w:r>
      <w:r>
        <w:t xml:space="preserve"> </w:t>
      </w:r>
      <w:r>
        <w:rPr>
          <w:b/>
          <w:bCs/>
        </w:rPr>
        <w:t xml:space="preserve">§11.4.156</w:t>
      </w:r>
      <w:r>
        <w:t xml:space="preserve">. (Drafting a full §11.4.156 is intentionally NOT done here because it would duplicate</w:t>
      </w:r>
      <w:r>
        <w:t xml:space="preserve"> </w:t>
      </w:r>
      <w:r>
        <w:t xml:space="preserve">§11.4.153 — see the conclusion above. If the operator confirms they want a standalone anchor anyway,</w:t>
      </w:r>
      <w:r>
        <w:t xml:space="preserve"> </w:t>
      </w:r>
      <w:r>
        <w:t xml:space="preserve">the main agent should draft §11.4.156 in the §11.4.153 house style, opening with a verbatim forensic</w:t>
      </w:r>
      <w:r>
        <w:t xml:space="preserve"> </w:t>
      </w:r>
      <w:r>
        <w:t xml:space="preserve">anchor, composing §11.4.45/.56/.86/.106/.107/.128/.143/.153/.154/.155, with a</w:t>
      </w:r>
      <w:r>
        <w:t xml:space="preserve"> </w:t>
      </w:r>
      <w:r>
        <w:rPr>
          <w:rStyle w:val="VerbatimChar"/>
        </w:rPr>
        <w:t xml:space="preserve">CM-COVENANT-114-156-PROPAGATION</w:t>
      </w:r>
      <w:r>
        <w:t xml:space="preserve"> </w:t>
      </w:r>
      <w:r>
        <w:t xml:space="preserve">gate + recommended functional gate + paired §1.1 mutation, and explicitly stating in its own text how</w:t>
      </w:r>
      <w:r>
        <w:t xml:space="preserve"> </w:t>
      </w:r>
      <w:r>
        <w:t xml:space="preserve">it differs from §11.4.153 to avoid a no-op duplicate.)</w:t>
      </w:r>
    </w:p>
    <w:p>
      <w:r>
        <w:pict>
          <v:rect style="width:0;height:1.5pt" o:hralign="center" o:hrstd="t" o:hr="t"/>
        </w:pict>
      </w:r>
    </w:p>
    <w:bookmarkEnd w:id="11"/>
    <w:bookmarkStart w:id="12" w:name="X0ff9c0f4d1034e621f1889a3323fdbeaf42598a"/>
    <w:p>
      <w:pPr>
        <w:pStyle w:val="Heading2"/>
      </w:pPr>
      <w:r>
        <w:t xml:space="preserve">DRAFT short mirror paragraph for CLAUDE.md / AGENTS.md / QWEN.md</w:t>
      </w:r>
    </w:p>
    <w:p>
      <w:pPr>
        <w:pStyle w:val="FirstParagraph"/>
      </w:pPr>
      <w:r>
        <w:t xml:space="preserve">Use this ONLY if Option B (the §11.4.153 refinement) is applied; the §11.4.153/.154/.155 mirror</w:t>
      </w:r>
      <w:r>
        <w:t xml:space="preserve"> </w:t>
      </w:r>
      <w:r>
        <w:t xml:space="preserve">paragraphs already belong in the consumer files. This is the project-layer instantiation note Boba</w:t>
      </w:r>
      <w:r>
        <w:t xml:space="preserve"> </w:t>
      </w:r>
      <w:r>
        <w:t xml:space="preserve">should add regardless (Option A):</w:t>
      </w:r>
    </w:p>
    <w:p>
      <w:pPr>
        <w:pStyle w:val="BlockText"/>
      </w:pPr>
      <w:r>
        <w:rPr>
          <w:b/>
          <w:bCs/>
        </w:rPr>
        <w:t xml:space="preserve">§11.4.153/.154/.155 project instantiation (Boba).</w:t>
      </w:r>
      <w:r>
        <w:t xml:space="preserve"> </w:t>
      </w:r>
      <w:r>
        <w:t xml:space="preserve">Boba maintains its feature ledger under</w:t>
      </w:r>
      <w:r>
        <w:t xml:space="preserve"> </w:t>
      </w:r>
      <w:r>
        <w:rPr>
          <w:rStyle w:val="VerbatimChar"/>
        </w:rPr>
        <w:t xml:space="preserve">docs/features/Status.md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Status_Summary.md</w:t>
      </w:r>
      <w:r>
        <w:t xml:space="preserve"> </w:t>
      </w:r>
      <w:r>
        <w:t xml:space="preserve">(+ HTML/PDF/DOCX), covering every component</w:t>
      </w:r>
      <w:r>
        <w:t xml:space="preserve"> </w:t>
      </w:r>
      <w:r>
        <w:t xml:space="preserve">(download-proxy, merge service, boba-jackett, qBittorrent-go proxy, webui-bridge, plugins) and every</w:t>
      </w:r>
      <w:r>
        <w:t xml:space="preserve"> </w:t>
      </w:r>
      <w:r>
        <w:t xml:space="preserve">client surface (Angular</w:t>
      </w:r>
      <w:r>
        <w:t xml:space="preserve"> </w:t>
      </w:r>
      <w:r>
        <w:rPr>
          <w:rStyle w:val="VerbatimChar"/>
        </w:rPr>
        <w:t xml:space="preserve">frontend/</w:t>
      </w:r>
      <w:r>
        <w:t xml:space="preserve"> </w:t>
      </w:r>
      <w:r>
        <w:t xml:space="preserve">web dashboard, FastAPI Jinja2 dashboard :7187,</w:t>
      </w:r>
      <w:r>
        <w:t xml:space="preserve"> </w:t>
      </w:r>
      <w:r>
        <w:rPr>
          <w:rStyle w:val="VerbatimChar"/>
        </w:rPr>
        <w:t xml:space="preserve">cmd/boba-ctl</w:t>
      </w:r>
      <w:r>
        <w:t xml:space="preserve"> </w:t>
      </w:r>
      <w:r>
        <w:t xml:space="preserve">CLI,</w:t>
      </w:r>
      <w:r>
        <w:t xml:space="preserve"> </w:t>
      </w:r>
      <w:r>
        <w:rPr>
          <w:rStyle w:val="VerbatimChar"/>
        </w:rPr>
        <w:t xml:space="preserve">extension/</w:t>
      </w:r>
      <w:r>
        <w:t xml:space="preserve"> </w:t>
      </w:r>
      <w:r>
        <w:t xml:space="preserve">BobaLink browser extension). Each user-visible feature’s confirmation cites a window-scoped</w:t>
      </w:r>
      <w:r>
        <w:t xml:space="preserve"> </w:t>
      </w:r>
      <w:r>
        <w:t xml:space="preserve">(§11.4.154) real-use recording under</w:t>
      </w:r>
      <w:r>
        <w:t xml:space="preserve"> </w:t>
      </w:r>
      <w:r>
        <w:rPr>
          <w:rStyle w:val="VerbatimChar"/>
        </w:rPr>
        <w:t xml:space="preserve">/Volumes/T7/Downloads/Recordings</w:t>
      </w:r>
      <w:r>
        <w:t xml:space="preserve">, filename prefixed</w:t>
      </w:r>
      <w:r>
        <w:t xml:space="preserve"> </w:t>
      </w:r>
      <w:r>
        <w:rPr>
          <w:rStyle w:val="VerbatimChar"/>
        </w:rPr>
        <w:t xml:space="preserve">boba---…</w:t>
      </w:r>
      <w:r>
        <w:t xml:space="preserve"> </w:t>
      </w:r>
      <w:r>
        <w:t xml:space="preserve">(§11.4.155 —</w:t>
      </w:r>
      <w:r>
        <w:t xml:space="preserve"> </w:t>
      </w:r>
      <w:r>
        <w:rPr>
          <w:rStyle w:val="VerbatimChar"/>
        </w:rPr>
        <w:t xml:space="preserve">HELIX_RELEASE_PREFIX</w:t>
      </w:r>
      <w:r>
        <w:t xml:space="preserve"> </w:t>
      </w:r>
      <w:r>
        <w:t xml:space="preserve">unset → fallback lowercased repo-dir name</w:t>
      </w:r>
      <w:r>
        <w:t xml:space="preserve"> </w:t>
      </w:r>
      <w:r>
        <w:rPr>
          <w:rStyle w:val="VerbatimChar"/>
        </w:rPr>
        <w:t xml:space="preserve">boba</w:t>
      </w:r>
      <w:r>
        <w:t xml:space="preserve">), analysed by the</w:t>
      </w:r>
      <w:r>
        <w:t xml:space="preserve"> </w:t>
      </w:r>
      <w:r>
        <w:t xml:space="preserve">HelixAgent ensemble (</w:t>
      </w:r>
      <w:r>
        <w:rPr>
          <w:rStyle w:val="VerbatimChar"/>
        </w:rPr>
        <w:t xml:space="preserve">/Volumes/T7/Projects/helix_code/submodules/helix_agent</w:t>
      </w:r>
      <w:r>
        <w:t xml:space="preserve">, per §11.4.74) with the</w:t>
      </w:r>
      <w:r>
        <w:t xml:space="preserve"> </w:t>
      </w:r>
      <w:r>
        <w:t xml:space="preserve">§11.4.102→fix→§11.4.146→re-record loop. Always-synced via docs_chain (§11.4.106) + §11.4.86 fingerprint.</w:t>
      </w:r>
      <w:r>
        <w:t xml:space="preserve"> </w:t>
      </w:r>
      <w:r>
        <w:rPr>
          <w:b/>
          <w:bCs/>
        </w:rPr>
        <w:t xml:space="preserve">Blocker:</w:t>
      </w:r>
      <w:r>
        <w:t xml:space="preserve"> </w:t>
      </w:r>
      <w:r>
        <w:t xml:space="preserve">neither the HelixAgent ensemble nor docs_chain is currently a Boba submodule — both must</w:t>
      </w:r>
      <w:r>
        <w:t xml:space="preserve"> </w:t>
      </w:r>
      <w:r>
        <w:t xml:space="preserve">be incorporated per §11.4.74/§11.4.36 before the ensemble-analysis + docs_chain clauses can be honoured.</w:t>
      </w:r>
    </w:p>
    <w:bookmarkEnd w:id="12"/>
    <w:bookmarkEnd w:id="1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2026-09-01T16:23:30Z</dcterms:created>
  <dcterms:modified xsi:type="dcterms:W3CDTF">2026-09-01T16:23:30Z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