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bff1cd9c7d095b7d7e08dca664aca5dd6cddec"/>
    <w:p>
      <w:pPr>
        <w:pStyle w:val="Heading1"/>
      </w:pPr>
      <w:r>
        <w:t xml:space="preserve">Recording readiness inventory — Boba client surfaces + HelixAgent ensemble + per-surface recording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2026-06-15T00:00:00Z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Feasibility for §11.4.153/.154/.155 video-recording confirmation of ALL Boba client apps,</w:t>
      </w:r>
      <w:r>
        <w:t xml:space="preserve"> </w:t>
      </w:r>
      <w:r>
        <w:t xml:space="preserve">driven by the HelixAgent ensemble, saved to</w:t>
      </w:r>
      <w:r>
        <w:t xml:space="preserve"> </w:t>
      </w:r>
      <w:r>
        <w:rPr>
          <w:rStyle w:val="VerbatimChar"/>
        </w:rPr>
        <w:t xml:space="preserve">/Volumes/T7/Downloads/Recordings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boba---</w:t>
      </w:r>
      <w:r>
        <w:t xml:space="preserve"> </w:t>
      </w:r>
      <w:r>
        <w:t xml:space="preserve">prefix.</w:t>
      </w:r>
      <w:r>
        <w:t xml:space="preserve"> </w:t>
      </w:r>
      <w:r>
        <w:t xml:space="preserve">Anti-bluff (§11.4.6): EXISTS/ABSENT claims below carry path evidence; unknowns are marked UNCONFIRMED.</w:t>
      </w:r>
    </w:p>
    <w:p>
      <w:r>
        <w:pict>
          <v:rect style="width:0;height:1.5pt" o:hralign="center" o:hrstd="t" o:hr="t"/>
        </w:pict>
      </w:r>
    </w:p>
    <w:bookmarkStart w:id="9" w:name="X9f6202b32dccdca26169142c82d3ab285715d10"/>
    <w:p>
      <w:pPr>
        <w:pStyle w:val="Heading2"/>
      </w:pPr>
      <w:r>
        <w:t xml:space="preserve">1. Client-surface inventory (EXISTS / DOES-NOT-EXIST, with evidence)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— Angular dashboard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angular.json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frontend/package.json</w:t>
            </w:r>
            <w:r>
              <w:t xml:space="preserve"> </w:t>
            </w:r>
            <w:r>
              <w:t xml:space="preserve">name=</w:t>
            </w:r>
            <w:r>
              <w:rPr>
                <w:rStyle w:val="VerbatimChar"/>
              </w:rPr>
              <w:t xml:space="preserve">frontend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frontend/playwright.config.ts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frontend/e2e/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Angular 21 SPA. Playwright already configured for e2e → ideal recording driver. Routes incl. </w:t>
            </w:r>
            <w:r>
              <w:rPr>
                <w:rStyle w:val="VerbatimChar"/>
              </w:rPr>
              <w:t xml:space="preserve">/jackett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— FastAPI Jinja2 dashboard (:7187)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merge service dashboard at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http://localhost:7187/</w:t>
            </w:r>
            <w:r>
              <w:t xml:space="preserve"> </w:t>
            </w:r>
            <w:r>
              <w:t xml:space="preserve">(CLAUDE.md port map; served by</w:t>
            </w:r>
            <w:r>
              <w:t xml:space="preserve"> </w:t>
            </w:r>
            <w:r>
              <w:rPr>
                <w:rStyle w:val="VerbatimChar"/>
              </w:rPr>
              <w:t xml:space="preserve">download-proxy/src/api/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Server-rendered HTML dashboard, separate from the Angular SPA. Browser-recordable.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boba-ctl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 (CLI, not TUI)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cmd/boba-ctl/main.go</w:t>
            </w:r>
            <w:r>
              <w:t xml:space="preserve"> </w:t>
            </w:r>
            <w:r>
              <w:t xml:space="preserve">(built binary</w:t>
            </w:r>
            <w:r>
              <w:t xml:space="preserve"> </w:t>
            </w:r>
            <w:r>
              <w:rPr>
                <w:rStyle w:val="VerbatimChar"/>
              </w:rPr>
              <w:t xml:space="preserve">cmd/boba-ctl/boba-ctl</w:t>
            </w:r>
            <w:r>
              <w:t xml:space="preserve">), wrapper</w:t>
            </w:r>
            <w:r>
              <w:t xml:space="preserve"> </w:t>
            </w:r>
            <w:r>
              <w:rPr>
                <w:rStyle w:val="VerbatimChar"/>
              </w:rPr>
              <w:t xml:space="preserve">scripts/boba-ctl.sh</w:t>
            </w:r>
          </w:p>
        </w:tc>
        <w:tc>
          <w:tcPr/>
          <w:p>
            <w:pPr>
              <w:pStyle w:val="Compact"/>
            </w:pPr>
            <w:r>
              <w:t xml:space="preserve">Subcommand CLI:</w:t>
            </w:r>
            <w:r>
              <w:t xml:space="preserve"> </w:t>
            </w:r>
            <w:r>
              <w:rPr>
                <w:rStyle w:val="VerbatimChar"/>
              </w:rPr>
              <w:t xml:space="preserve">up/down/status/health/list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 TUI</w:t>
            </w:r>
            <w:r>
              <w:t xml:space="preserve"> </w:t>
            </w:r>
            <w:r>
              <w:t xml:space="preserve">— no bubbletea/tview/textual dep in</w:t>
            </w:r>
            <w:r>
              <w:t xml:space="preserve"> </w:t>
            </w:r>
            <w:r>
              <w:rPr>
                <w:rStyle w:val="VerbatimChar"/>
              </w:rPr>
              <w:t xml:space="preserve">cmd/boba-ctl/go.mod</w:t>
            </w:r>
            <w:r>
              <w:t xml:space="preserve">. The operator’s</w:t>
            </w:r>
            <w:r>
              <w:t xml:space="preserve"> </w:t>
            </w:r>
            <w:r>
              <w:t xml:space="preserve">“boba-ctl TUI?”</w:t>
            </w:r>
            <w:r>
              <w:t xml:space="preserve"> </w:t>
            </w:r>
            <w:r>
              <w:t xml:space="preserve">→ it is a plain CLI. Record via terminal capture.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Shell-script CLIs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install-plugin.sh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webui-bridge.py</w:t>
            </w:r>
          </w:p>
        </w:tc>
        <w:tc>
          <w:tcPr/>
          <w:p>
            <w:pPr>
              <w:pStyle w:val="Compact"/>
            </w:pPr>
            <w:r>
              <w:t xml:space="preserve">Operator-facing command surfaces; terminal-recordable.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 extension — BobaLink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</w:t>
            </w:r>
            <w:r>
              <w:t xml:space="preserve"> </w:t>
            </w:r>
            <w:r>
              <w:t xml:space="preserve">(WXT/Manifest V3,</w:t>
            </w:r>
            <w:r>
              <w:t xml:space="preserve"> </w:t>
            </w:r>
            <w:r>
              <w:rPr>
                <w:rStyle w:val="VerbatimChar"/>
              </w:rPr>
              <w:t xml:space="preserve">extension/wxt.config.ts</w:t>
            </w:r>
            <w:r>
              <w:t xml:space="preserve"> </w:t>
            </w:r>
            <w:r>
              <w:t xml:space="preserve">name</w:t>
            </w:r>
            <w:r>
              <w:t xml:space="preserve"> </w:t>
            </w:r>
            <w:r>
              <w:t xml:space="preserve">“BobaLink (Boba Project browser extension)”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extension/playwright.config.ts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extension/tests/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MV3 extension, popup/background. Scoped to merge service</w:t>
            </w:r>
            <w:r>
              <w:t xml:space="preserve"> </w:t>
            </w:r>
            <w:r>
              <w:rPr>
                <w:rStyle w:val="VerbatimChar"/>
              </w:rPr>
              <w:t xml:space="preserve">localhost:7187</w:t>
            </w:r>
            <w:r>
              <w:t xml:space="preserve">. Record popup + content via Playwright-with-extension / chrome-devtools.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TUI (dedicated terminal UI app)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DOES-NOT-EXIST</w:t>
            </w:r>
          </w:p>
        </w:tc>
        <w:tc>
          <w:tcPr/>
          <w:p>
            <w:pPr>
              <w:pStyle w:val="Compact"/>
            </w:pPr>
            <w:r>
              <w:t xml:space="preserve">grep for bubbletea/tview/textual/blessed → no Boba hit (only test files / a course demo.sh)</w:t>
            </w:r>
          </w:p>
        </w:tc>
        <w:tc>
          <w:tcPr/>
          <w:p>
            <w:pPr>
              <w:pStyle w:val="Compact"/>
            </w:pPr>
            <w:r>
              <w:t xml:space="preserve">No TUI surface. If the operator wants a</w:t>
            </w:r>
            <w:r>
              <w:t xml:space="preserve"> </w:t>
            </w:r>
            <w:r>
              <w:t xml:space="preserve">“TUI”</w:t>
            </w:r>
            <w:r>
              <w:t xml:space="preserve">, boba-ctl CLI is the closest existing surface.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 (iOS/Android/Flutter)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DOES-NOT-EXIST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*.swift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*.kt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*.dart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Info.plist</w:t>
            </w:r>
            <w:r>
              <w:t xml:space="preserve"> </w:t>
            </w:r>
            <w:r>
              <w:t xml:space="preserve">in repo (excluding submodules/node_modules)</w:t>
            </w:r>
          </w:p>
        </w:tc>
        <w:tc>
          <w:tcPr/>
          <w:p>
            <w:pPr>
              <w:pStyle w:val="Compact"/>
            </w:pPr>
            <w:r>
              <w:t xml:space="preserve">No mobile surface to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 native (Electron/Tauri)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DOES-NOT-EXIST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electron</w:t>
            </w:r>
            <w:r>
              <w:t xml:space="preserve">/</w:t>
            </w:r>
            <w:r>
              <w:rPr>
                <w:rStyle w:val="VerbatimChar"/>
              </w:rPr>
              <w:t xml:space="preserve">tauri</w:t>
            </w:r>
            <w:r>
              <w:t xml:space="preserve"> </w:t>
            </w:r>
            <w:r>
              <w:t xml:space="preserve">dep in</w:t>
            </w:r>
            <w:r>
              <w:t xml:space="preserve"> </w:t>
            </w:r>
            <w:r>
              <w:rPr>
                <w:rStyle w:val="VerbatimChar"/>
              </w:rPr>
              <w:t xml:space="preserve">frontend/package.json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extension/package.json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“desktop”</w:t>
            </w:r>
            <w:r>
              <w:t xml:space="preserve"> </w:t>
            </w:r>
            <w:r>
              <w:t xml:space="preserve">surface is the web dashboard in a browser, not a native app.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4 real recordable client surfaces — (1) Angular web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 (2) FastAPI Jinja2</w:t>
      </w:r>
      <w:r>
        <w:t xml:space="preserve"> </w:t>
      </w:r>
      <w:r>
        <w:t xml:space="preserve">dashboard :7187, (3)</w:t>
      </w:r>
      <w:r>
        <w:t xml:space="preserve"> </w:t>
      </w:r>
      <w:r>
        <w:rPr>
          <w:rStyle w:val="VerbatimChar"/>
        </w:rPr>
        <w:t xml:space="preserve">boba-ctl</w:t>
      </w:r>
      <w:r>
        <w:t xml:space="preserve"> </w:t>
      </w:r>
      <w:r>
        <w:t xml:space="preserve">CLI + shell scripts, (4) BobaLink browser extension.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TUI,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mobile,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desktop-native app. Do NOT produce recordings for apps that don’t exist (§11.4.6).</w:t>
      </w:r>
    </w:p>
    <w:p>
      <w:r>
        <w:pict>
          <v:rect style="width:0;height:1.5pt" o:hralign="center" o:hrstd="t" o:hr="t"/>
        </w:pict>
      </w:r>
    </w:p>
    <w:bookmarkEnd w:id="9"/>
    <w:bookmarkStart w:id="10" w:name="X14f856d67ad92f52d61f07a0ded82593f6dc9a6"/>
    <w:p>
      <w:pPr>
        <w:pStyle w:val="Heading2"/>
      </w:pPr>
      <w:r>
        <w:t xml:space="preserve">2. HelixAgent ensemble location — THE KEY BLOCKER</w:t>
      </w:r>
    </w:p>
    <w:p>
      <w:pPr>
        <w:pStyle w:val="FirstParagraph"/>
      </w:pPr>
      <w:r>
        <w:t xml:space="preserve">The operator wants recordings</w:t>
      </w:r>
      <w:r>
        <w:t xml:space="preserve"> </w:t>
      </w:r>
      <w:r>
        <w:t xml:space="preserve">“driven by the helix agent ensemble obtained from the helix agent Submodule”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Finding (FACT, with evidence):</w:t>
      </w:r>
      <w:r>
        <w:t xml:space="preserve"> </w:t>
      </w:r>
      <w:r>
        <w:t xml:space="preserve">- The ensemble IS present on the host at</w:t>
      </w:r>
      <w:r>
        <w:t xml:space="preserve"> </w:t>
      </w:r>
      <w:r>
        <w:rPr>
          <w:rStyle w:val="VerbatimChar"/>
          <w:b/>
          <w:bCs/>
        </w:rPr>
        <w:t xml:space="preserve">/Volumes/T7/Projects/helix_code/submodules/helix_agent</w:t>
      </w:r>
      <w:r>
        <w:t xml:space="preserve"> </w:t>
      </w:r>
      <w:r>
        <w:t xml:space="preserve">(EXISTS — verified). It is</w:t>
      </w:r>
      <w:r>
        <w:t xml:space="preserve"> </w:t>
      </w:r>
      <w:r>
        <w:rPr>
          <w:b/>
          <w:bCs/>
        </w:rPr>
        <w:t xml:space="preserve">HelixAgent: AI-Powered Ensemble LLM Service</w:t>
      </w:r>
      <w:r>
        <w:t xml:space="preserve"> </w:t>
      </w:r>
      <w:r>
        <w:t xml:space="preserve">(its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H1), a Go</w:t>
      </w:r>
      <w:r>
        <w:t xml:space="preserve"> </w:t>
      </w:r>
      <w:r>
        <w:t xml:space="preserve">service with entrypoints</w:t>
      </w:r>
      <w:r>
        <w:t xml:space="preserve"> </w:t>
      </w:r>
      <w:r>
        <w:rPr>
          <w:rStyle w:val="VerbatimChar"/>
        </w:rPr>
        <w:t xml:space="preserve">bin/helixagent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cmd/grpc-server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cmd/mcp-bridge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cmd/helixagent</w:t>
      </w:r>
      <w:r>
        <w:t xml:space="preserve">. Catalogue:</w:t>
      </w:r>
      <w:r>
        <w:t xml:space="preserve"> </w:t>
      </w:r>
      <w:r>
        <w:rPr>
          <w:rStyle w:val="VerbatimChar"/>
        </w:rPr>
        <w:t xml:space="preserve">vasic-digital/HelixAgent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HelixDevelopment/HelixAgent</w:t>
      </w:r>
      <w:r>
        <w:t xml:space="preserve"> </w:t>
      </w:r>
      <w:r>
        <w:t xml:space="preserve">(</w:t>
      </w:r>
      <w:r>
        <w:t xml:space="preserve">“LLMs Agent”</w:t>
      </w:r>
      <w:r>
        <w:t xml:space="preserve">).</w:t>
      </w:r>
      <w:r>
        <w:t xml:space="preserve"> </w:t>
      </w:r>
      <w:r>
        <w:t xml:space="preserve">- Its containers ARE running:</w:t>
      </w:r>
      <w:r>
        <w:t xml:space="preserve"> </w:t>
      </w:r>
      <w:r>
        <w:rPr>
          <w:rStyle w:val="VerbatimChar"/>
        </w:rPr>
        <w:t xml:space="preserve">helixagent-postgres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helixagent-redis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helixagent-chromadb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helixagent-cognee</w:t>
      </w:r>
      <w:r>
        <w:t xml:space="preserve"> </w:t>
      </w:r>
      <w:r>
        <w:t xml:space="preserve">(compose project</w:t>
      </w:r>
      <w:r>
        <w:t xml:space="preserve"> </w:t>
      </w:r>
      <w:r>
        <w:rPr>
          <w:rStyle w:val="VerbatimChar"/>
        </w:rPr>
        <w:t xml:space="preserve">helix_agent</w:t>
      </w:r>
      <w:r>
        <w:t xml:space="preserve">, config</w:t>
      </w:r>
      <w:r>
        <w:t xml:space="preserve"> </w:t>
      </w:r>
      <w:r>
        <w:rPr>
          <w:rStyle w:val="VerbatimChar"/>
        </w:rPr>
        <w:t xml:space="preserve">/Volumes/T7/Projects/helix_code/submodules/helix_agent/docker-compose.yml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helix_ollama_video</w:t>
      </w:r>
      <w:r>
        <w:t xml:space="preserve"> </w:t>
      </w:r>
      <w:r>
        <w:t xml:space="preserve">(an Ollama instance, 6h uptime — plausibly the vision/video-analysis model host, UNCONFIRMED which</w:t>
      </w:r>
      <w:r>
        <w:t xml:space="preserve"> </w:t>
      </w:r>
      <w:r>
        <w:t xml:space="preserve">model it serves).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BLOCKER 1:</w:t>
      </w:r>
      <w:r>
        <w:t xml:space="preserve"> </w:t>
      </w:r>
      <w:r>
        <w:t xml:space="preserve">the ensemble is owned by</w:t>
      </w:r>
      <w:r>
        <w:t xml:space="preserve"> </w:t>
      </w:r>
      <w:r>
        <w:rPr>
          <w:rStyle w:val="VerbatimChar"/>
          <w:b/>
          <w:bCs/>
        </w:rPr>
        <w:t xml:space="preserve">helix_code</w:t>
      </w:r>
      <w:r>
        <w:rPr>
          <w:b/>
          <w:bCs/>
        </w:rPr>
        <w:t xml:space="preserve">, NOT by Boba</w:t>
      </w:r>
      <w:r>
        <w:t xml:space="preserve">. It is NOT in Boba’s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(Boba’s submodules are only: constitution, jackett, helixqa, challenges, containers). To use it per the</w:t>
      </w:r>
      <w:r>
        <w:t xml:space="preserve"> </w:t>
      </w:r>
      <w:r>
        <w:t xml:space="preserve">constitution it must be incorporated into Boba per §11.4.74 (catalogue-first) + §11.4.36</w:t>
      </w:r>
      <w:r>
        <w:t xml:space="preserve"> </w:t>
      </w:r>
      <w:r>
        <w:t xml:space="preserve">(install_upstreams on add) — OR consumed as a running service via its API/gRPC/MCP endpoints without a</w:t>
      </w:r>
      <w:r>
        <w:t xml:space="preserve"> </w:t>
      </w:r>
      <w:r>
        <w:t xml:space="preserve">submodule. The operator’s phrase</w:t>
      </w:r>
      <w:r>
        <w:t xml:space="preserve"> </w:t>
      </w:r>
      <w:r>
        <w:t xml:space="preserve">“obtained from the helix agent Submodule”</w:t>
      </w:r>
      <w:r>
        <w:t xml:space="preserve"> </w:t>
      </w:r>
      <w:r>
        <w:t xml:space="preserve">implies incorporation;</w:t>
      </w:r>
      <w:r>
        <w:t xml:space="preserve"> </w:t>
      </w:r>
      <w:r>
        <w:t xml:space="preserve">that decision is operator-gated.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BLOCKER 2 (interface UNCONFIRMED):</w:t>
      </w:r>
      <w:r>
        <w:t xml:space="preserve"> </w:t>
      </w:r>
      <w:r>
        <w:t xml:space="preserve">how exactly the ensemble ingests a VIDEO file and returns a</w:t>
      </w:r>
      <w:r>
        <w:t xml:space="preserve"> </w:t>
      </w:r>
      <w:r>
        <w:t xml:space="preserve">per-feature analysis verdict is not yet verified.</w:t>
      </w:r>
      <w:r>
        <w:t xml:space="preserve"> </w:t>
      </w:r>
      <w:r>
        <w:rPr>
          <w:rStyle w:val="VerbatimChar"/>
        </w:rPr>
        <w:t xml:space="preserve">helix_ollama_video</w:t>
      </w:r>
      <w:r>
        <w:t xml:space="preserve"> </w:t>
      </w:r>
      <w:r>
        <w:t xml:space="preserve">suggests a vision pipeline</w:t>
      </w:r>
      <w:r>
        <w:t xml:space="preserve"> </w:t>
      </w:r>
      <w:r>
        <w:t xml:space="preserve">exists, but the concrete</w:t>
      </w:r>
      <w:r>
        <w:t xml:space="preserve"> </w:t>
      </w:r>
      <w:r>
        <w:t xml:space="preserve">“analyse this mp4 → JSON verdict”</w:t>
      </w:r>
      <w:r>
        <w:t xml:space="preserve"> </w:t>
      </w:r>
      <w:r>
        <w:t xml:space="preserve">entrypoint (API route / CLI flag / MCP tool)</w:t>
      </w:r>
      <w:r>
        <w:t xml:space="preserve"> </w:t>
      </w:r>
      <w:r>
        <w:t xml:space="preserve">was NOT confirmed in this pass. The main agent must verify the ensemble’s video-analysis API before</w:t>
      </w:r>
      <w:r>
        <w:t xml:space="preserve"> </w:t>
      </w:r>
      <w:r>
        <w:t xml:space="preserve">the §11.4.153 (4) remediation loop can be wired.</w:t>
      </w:r>
    </w:p>
    <w:p>
      <w:pPr>
        <w:pStyle w:val="BodyText"/>
      </w:pPr>
      <w:r>
        <w:rPr>
          <w:b/>
          <w:bCs/>
        </w:rPr>
        <w:t xml:space="preserve">docs_chain (the §11.4.153 (5) sync engine) — secondary blocker: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EXISTS at</w:t>
      </w:r>
      <w:r>
        <w:t xml:space="preserve"> </w:t>
      </w:r>
      <w:r>
        <w:rPr>
          <w:rStyle w:val="VerbatimChar"/>
        </w:rPr>
        <w:t xml:space="preserve">/Volumes/T7/Projects/docs_chain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/Volumes/T7/Projects/helix_code/submodules/docs_chain</w:t>
      </w:r>
      <w:r>
        <w:t xml:space="preserve">,</w:t>
      </w:r>
      <w:r>
        <w:t xml:space="preserve"> </w:t>
      </w:r>
      <w:r>
        <w:t xml:space="preserve">but is</w:t>
      </w:r>
      <w:r>
        <w:t xml:space="preserve"> </w:t>
      </w:r>
      <w:r>
        <w:rPr>
          <w:b/>
          <w:bCs/>
        </w:rPr>
        <w:t xml:space="preserve">NOT a Boba submodule</w:t>
      </w:r>
      <w:r>
        <w:t xml:space="preserve"> </w:t>
      </w:r>
      <w:r>
        <w:t xml:space="preserve">(absent from Boba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). §11.4.106 requires consuming it by</w:t>
      </w:r>
      <w:r>
        <w:t xml:space="preserve"> </w:t>
      </w:r>
      <w:r>
        <w:t xml:space="preserve">reference; Boba must wire it (register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) before the always-in-sync clause holds.</w:t>
      </w:r>
    </w:p>
    <w:p>
      <w:r>
        <w:pict>
          <v:rect style="width:0;height:1.5pt" o:hralign="center" o:hrstd="t" o:hr="t"/>
        </w:pict>
      </w:r>
    </w:p>
    <w:bookmarkEnd w:id="10"/>
    <w:bookmarkStart w:id="11" w:name="Xcbe3e764746fb2ca53862868a2129b0fd2278eb"/>
    <w:p>
      <w:pPr>
        <w:pStyle w:val="Heading2"/>
      </w:pPr>
      <w:r>
        <w:t xml:space="preserve">3. Recording-corpus state + project-name prefix</w:t>
      </w:r>
    </w:p>
    <w:p>
      <w:pPr>
        <w:pStyle w:val="Compact"/>
        <w:numPr>
          <w:ilvl w:val="0"/>
          <w:numId w:val="1001"/>
        </w:numPr>
      </w:pPr>
      <w:r>
        <w:t xml:space="preserve">Recording path</w:t>
      </w:r>
      <w:r>
        <w:t xml:space="preserve"> </w:t>
      </w:r>
      <w:r>
        <w:rPr>
          <w:rStyle w:val="VerbatimChar"/>
        </w:rPr>
        <w:t xml:space="preserve">/Volumes/T7/Downloads/Recordings</w:t>
      </w:r>
      <w:r>
        <w:t xml:space="preserve"> </w:t>
      </w:r>
      <w:r>
        <w:rPr>
          <w:b/>
          <w:bCs/>
        </w:rPr>
        <w:t xml:space="preserve">EXISTS</w:t>
      </w:r>
      <w:r>
        <w:t xml:space="preserve">. It currently holds</w:t>
      </w:r>
      <w:r>
        <w:t xml:space="preserve"> </w:t>
      </w:r>
      <w:r>
        <w:rPr>
          <w:rStyle w:val="VerbatimChar"/>
          <w:b/>
          <w:bCs/>
        </w:rPr>
        <w:t xml:space="preserve">helixcode-*</w:t>
      </w:r>
      <w:r>
        <w:t xml:space="preserve"> </w:t>
      </w:r>
      <w:r>
        <w:t xml:space="preserve">files (mp4/png/.cast) — another project’s recordings.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boba-*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boba---*</w:t>
      </w:r>
      <w:r>
        <w:rPr>
          <w:b/>
          <w:bCs/>
        </w:rPr>
        <w:t xml:space="preserve"> </w:t>
      </w:r>
      <w:r>
        <w:rPr>
          <w:b/>
          <w:bCs/>
        </w:rPr>
        <w:t xml:space="preserve">recordings yet.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Prefix to use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boba</w:t>
      </w:r>
      <w:r>
        <w:t xml:space="preserve"> </w:t>
      </w:r>
      <w:r>
        <w:t xml:space="preserve">(§11.4.155 resolution):</w:t>
      </w:r>
      <w:r>
        <w:t xml:space="preserve"> </w:t>
      </w:r>
      <w:r>
        <w:rPr>
          <w:rStyle w:val="VerbatimChar"/>
        </w:rPr>
        <w:t xml:space="preserve">HELIX_RELEASE_PREFIX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set</w:t>
      </w:r>
      <w:r>
        <w:t xml:space="preserve"> </w:t>
      </w:r>
      <w:r>
        <w:t xml:space="preserve">in Boba’s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→ fallback to lowercased snake_case repo-dir name → repo dir is lowercase</w:t>
      </w:r>
      <w:r>
        <w:t xml:space="preserve"> </w:t>
      </w:r>
      <w:r>
        <w:rPr>
          <w:rStyle w:val="VerbatimChar"/>
          <w:b/>
          <w:bCs/>
        </w:rPr>
        <w:t xml:space="preserve">boba</w:t>
      </w:r>
      <w:r>
        <w:t xml:space="preserve">. Canonical filename form:</w:t>
      </w:r>
      <w:r>
        <w:t xml:space="preserve"> </w:t>
      </w:r>
      <w:r>
        <w:rPr>
          <w:rStyle w:val="VerbatimChar"/>
          <w:b/>
          <w:bCs/>
        </w:rPr>
        <w:t xml:space="preserve">boba---&lt;surface-or-feature&gt;---&lt;run-id&gt;.&lt;ext&gt;</w:t>
      </w:r>
      <w:r>
        <w:t xml:space="preserve"> </w:t>
      </w:r>
      <w:r>
        <w:t xml:space="preserve">(triple-hyphen</w:t>
      </w:r>
      <w:r>
        <w:t xml:space="preserve"> </w:t>
      </w:r>
      <w:r>
        <w:t xml:space="preserve">separator per §11.4.155). Recommend setting</w:t>
      </w:r>
      <w:r>
        <w:t xml:space="preserve"> </w:t>
      </w:r>
      <w:r>
        <w:rPr>
          <w:rStyle w:val="VerbatimChar"/>
        </w:rPr>
        <w:t xml:space="preserve">HELIX_RELEASE_PREFIX=boba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explicitly so the</w:t>
      </w:r>
      <w:r>
        <w:t xml:space="preserve"> </w:t>
      </w:r>
      <w:r>
        <w:t xml:space="preserve">prefix is authoritative and matches §11.4.151 release-tag prefix.</w:t>
      </w:r>
    </w:p>
    <w:p>
      <w:pPr>
        <w:pStyle w:val="Compact"/>
        <w:numPr>
          <w:ilvl w:val="0"/>
          <w:numId w:val="1001"/>
        </w:numPr>
      </w:pPr>
      <w:r>
        <w:t xml:space="preserve">§11.4.154 fresh-corpus rotation applies only to Boba’s OWN prior</w:t>
      </w:r>
      <w:r>
        <w:t xml:space="preserve"> </w:t>
      </w:r>
      <w:r>
        <w:rPr>
          <w:rStyle w:val="VerbatimChar"/>
        </w:rPr>
        <w:t xml:space="preserve">boba---*</w:t>
      </w:r>
      <w:r>
        <w:t xml:space="preserve"> </w:t>
      </w:r>
      <w:r>
        <w:t xml:space="preserve">recordings — the existing</w:t>
      </w:r>
      <w:r>
        <w:t xml:space="preserve"> </w:t>
      </w:r>
      <w:r>
        <w:rPr>
          <w:rStyle w:val="VerbatimChar"/>
        </w:rPr>
        <w:t xml:space="preserve">helixcode-*</w:t>
      </w:r>
      <w:r>
        <w:t xml:space="preserve"> </w:t>
      </w:r>
      <w:r>
        <w:t xml:space="preserve">files are FOREIGN and MUST NOT be deleted (§11.4.122 + §9.2).</w:t>
      </w:r>
    </w:p>
    <w:p>
      <w:r>
        <w:pict>
          <v:rect style="width:0;height:1.5pt" o:hralign="center" o:hrstd="t" o:hr="t"/>
        </w:pict>
      </w:r>
    </w:p>
    <w:bookmarkEnd w:id="11"/>
    <w:bookmarkStart w:id="12" w:name="per-surface-recording-recommendation"/>
    <w:p>
      <w:pPr>
        <w:pStyle w:val="Heading2"/>
      </w:pPr>
      <w:r>
        <w:t xml:space="preserve">4. Per-surface recording recommendation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Recommended capture mechanism</w:t>
            </w:r>
          </w:p>
        </w:tc>
        <w:tc>
          <w:tcPr/>
          <w:p>
            <w:pPr>
              <w:pStyle w:val="Compact"/>
            </w:pPr>
            <w:r>
              <w:t xml:space="preserve">Window-scoped (§11.4.154)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web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Playwright</w:t>
            </w:r>
            <w:r>
              <w:t xml:space="preserve"> </w:t>
            </w:r>
            <w:r>
              <w:t xml:space="preserve">(already configured:</w:t>
            </w:r>
            <w:r>
              <w:t xml:space="preserve"> </w:t>
            </w:r>
            <w:r>
              <w:rPr>
                <w:rStyle w:val="VerbatimChar"/>
              </w:rPr>
              <w:t xml:space="preserve">frontend/playwright.config.ts</w:t>
            </w:r>
            <w:r>
              <w:t xml:space="preserve">) with</w:t>
            </w:r>
            <w:r>
              <w:t xml:space="preserve"> </w:t>
            </w:r>
            <w:r>
              <w:rPr>
                <w:rStyle w:val="VerbatimChar"/>
              </w:rPr>
              <w:t xml:space="preserve">video: 'on'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recordVideo</w:t>
            </w:r>
            <w:r>
              <w:t xml:space="preserve">, OR chrome-devtools-mcp</w:t>
            </w:r>
            <w:r>
              <w:t xml:space="preserve"> </w:t>
            </w:r>
            <w:r>
              <w:rPr>
                <w:rStyle w:val="VerbatimChar"/>
              </w:rPr>
              <w:t xml:space="preserve">performance_start_trace</w:t>
            </w:r>
            <w:r>
              <w:t xml:space="preserve"> </w:t>
            </w:r>
            <w:r>
              <w:t xml:space="preserve">+ screen-record of the tab</w:t>
            </w:r>
          </w:p>
        </w:tc>
        <w:tc>
          <w:tcPr/>
          <w:p>
            <w:pPr>
              <w:pStyle w:val="Compact"/>
            </w:pPr>
            <w:r>
              <w:t xml:space="preserve">Yes — Playwright records the page viewport only, not the desktop</w:t>
            </w:r>
          </w:p>
        </w:tc>
        <w:tc>
          <w:tcPr/>
          <w:p>
            <w:pPr>
              <w:pStyle w:val="Compact"/>
            </w:pPr>
            <w:r>
              <w:t xml:space="preserve">Strongest path; e2e specs already exist in</w:t>
            </w:r>
            <w:r>
              <w:t xml:space="preserve"> </w:t>
            </w:r>
            <w:r>
              <w:rPr>
                <w:rStyle w:val="VerbatimChar"/>
              </w:rPr>
              <w:t xml:space="preserve">frontend/e2e/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Jinja2 dashboard :7187</w:t>
            </w:r>
          </w:p>
        </w:tc>
        <w:tc>
          <w:tcPr/>
          <w:p>
            <w:pPr>
              <w:pStyle w:val="Compact"/>
            </w:pPr>
            <w:r>
              <w:t xml:space="preserve">Playwright / chrome-devtools-mcp against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http://localhost:7187/</w:t>
            </w:r>
          </w:p>
        </w:tc>
        <w:tc>
          <w:tcPr/>
          <w:p>
            <w:pPr>
              <w:pStyle w:val="Compact"/>
            </w:pPr>
            <w:r>
              <w:t xml:space="preserve">Yes — browser viewport</w:t>
            </w:r>
          </w:p>
        </w:tc>
        <w:tc>
          <w:tcPr/>
          <w:p>
            <w:pPr>
              <w:pStyle w:val="Compact"/>
            </w:pPr>
            <w:r>
              <w:t xml:space="preserve">Needs containers up (</w:t>
            </w:r>
            <w:r>
              <w:rPr>
                <w:rStyle w:val="VerbatimChar"/>
              </w:rPr>
              <w:t xml:space="preserve">boba-ctl 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start.sh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BobaLink extension</w:t>
            </w:r>
          </w:p>
        </w:tc>
        <w:tc>
          <w:tcPr/>
          <w:p>
            <w:pPr>
              <w:pStyle w:val="Compact"/>
            </w:pPr>
            <w:r>
              <w:t xml:space="preserve">Playwright with the unpacked extension loaded (</w:t>
            </w:r>
            <w:r>
              <w:rPr>
                <w:rStyle w:val="VerbatimChar"/>
              </w:rPr>
              <w:t xml:space="preserve">.output/</w:t>
            </w:r>
            <w:r>
              <w:t xml:space="preserve">) → record popup + content-script interaction; or chrome-devtools-mcp</w:t>
            </w:r>
          </w:p>
        </w:tc>
        <w:tc>
          <w:tcPr/>
          <w:p>
            <w:pPr>
              <w:pStyle w:val="Compact"/>
            </w:pPr>
            <w:r>
              <w:t xml:space="preserve">Yes — browser/popup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extension/playwright.config.ts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extension/tests/</w:t>
            </w:r>
            <w:r>
              <w:t xml:space="preserve"> </w:t>
            </w:r>
            <w:r>
              <w:t xml:space="preserve">already exist.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boba-ctl</w:t>
            </w:r>
            <w:r>
              <w:t xml:space="preserve"> </w:t>
            </w:r>
            <w:r>
              <w:t xml:space="preserve">CLI + shell scripts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asciinema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asciinema rec</w:t>
            </w:r>
            <w:r>
              <w:t xml:space="preserve">) → convert to mp4 via</w:t>
            </w:r>
            <w:r>
              <w:t xml:space="preserve"> </w:t>
            </w:r>
            <w:r>
              <w:rPr>
                <w:rStyle w:val="VerbatimChar"/>
              </w:rPr>
              <w:t xml:space="preserve">agg</w:t>
            </w:r>
            <w:r>
              <w:t xml:space="preserve">/</w:t>
            </w:r>
            <w:r>
              <w:rPr>
                <w:rStyle w:val="VerbatimChar"/>
              </w:rPr>
              <w:t xml:space="preserve">ffmpeg</w:t>
            </w:r>
            <w:r>
              <w:t xml:space="preserve">; or</w:t>
            </w:r>
            <w:r>
              <w:t xml:space="preserve"> </w:t>
            </w:r>
            <w:r>
              <w:rPr>
                <w:rStyle w:val="VerbatimChar"/>
              </w:rPr>
              <w:t xml:space="preserve">script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ffmpeg</w:t>
            </w:r>
            <w:r>
              <w:t xml:space="preserve">. (Existing</w:t>
            </w:r>
            <w:r>
              <w:t xml:space="preserve"> </w:t>
            </w:r>
            <w:r>
              <w:rPr>
                <w:rStyle w:val="VerbatimChar"/>
              </w:rPr>
              <w:t xml:space="preserve">helixcode-cli-*.cast</w:t>
            </w:r>
            <w:r>
              <w:t xml:space="preserve"> </w:t>
            </w:r>
            <w:r>
              <w:t xml:space="preserve">files show asciinema is already the host’s CLI-recording tool.)</w:t>
            </w:r>
          </w:p>
        </w:tc>
        <w:tc>
          <w:tcPr/>
          <w:p>
            <w:pPr>
              <w:pStyle w:val="Compact"/>
            </w:pPr>
            <w:r>
              <w:t xml:space="preserve">Yes — record the terminal pane only (tmux target / window id), NOT the whole desktop</w:t>
            </w:r>
          </w:p>
        </w:tc>
        <w:tc>
          <w:tcPr/>
          <w:p>
            <w:pPr>
              <w:pStyle w:val="Compact"/>
            </w:pPr>
            <w:r>
              <w:t xml:space="preserve">Window-scope = single terminal window; do NOT</w:t>
            </w:r>
            <w:r>
              <w:t xml:space="preserve"> </w:t>
            </w:r>
            <w:r>
              <w:rPr>
                <w:rStyle w:val="VerbatimChar"/>
              </w:rPr>
              <w:t xml:space="preserve">ffmpeg -f avfoundation</w:t>
            </w:r>
            <w:r>
              <w:t xml:space="preserve"> </w:t>
            </w:r>
            <w:r>
              <w:t xml:space="preserve">whole-screen.</w:t>
            </w:r>
          </w:p>
        </w:tc>
      </w:tr>
    </w:tbl>
    <w:p>
      <w:pPr>
        <w:pStyle w:val="BodyText"/>
      </w:pPr>
      <w:r>
        <w:t xml:space="preserve">All four are window/surface-scoped by construction (Playwright = viewport, asciinema = terminal pane),</w:t>
      </w:r>
      <w:r>
        <w:t xml:space="preserve"> </w:t>
      </w:r>
      <w:r>
        <w:t xml:space="preserve">so §11.4.154 is naturally satisfied — provided the asciinema→mp4 step captures only the terminal, and</w:t>
      </w:r>
      <w:r>
        <w:t xml:space="preserve"> </w:t>
      </w:r>
      <w:r>
        <w:t xml:space="preserve">no whole-screen</w:t>
      </w:r>
      <w:r>
        <w:t xml:space="preserve"> </w:t>
      </w:r>
      <w:r>
        <w:rPr>
          <w:rStyle w:val="VerbatimChar"/>
        </w:rPr>
        <w:t xml:space="preserve">avfoundation</w:t>
      </w:r>
      <w:r>
        <w:t xml:space="preserve"> </w:t>
      </w:r>
      <w:r>
        <w:t xml:space="preserve">fallback is used.</w:t>
      </w:r>
    </w:p>
    <w:p>
      <w:r>
        <w:pict>
          <v:rect style="width:0;height:1.5pt" o:hralign="center" o:hrstd="t" o:hr="t"/>
        </w:pict>
      </w:r>
    </w:p>
    <w:bookmarkEnd w:id="12"/>
    <w:bookmarkStart w:id="13" w:name="X5be82db3c6e618ecb60528dc48078268b15aaa5"/>
    <w:p>
      <w:pPr>
        <w:pStyle w:val="Heading2"/>
      </w:pPr>
      <w:r>
        <w:t xml:space="preserve">5. What the main agent must resolve with the operator (blockers)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Incorporate HelixAgent ensemble + docs_chain into Boba</w:t>
      </w:r>
      <w:r>
        <w:t xml:space="preserve"> </w:t>
      </w:r>
      <w:r>
        <w:t xml:space="preserve">(per §11.4.74 + §11.4.36 + §11.4.106) — or</w:t>
      </w:r>
      <w:r>
        <w:t xml:space="preserve"> </w:t>
      </w:r>
      <w:r>
        <w:t xml:space="preserve">confirm</w:t>
      </w:r>
      <w:r>
        <w:t xml:space="preserve"> </w:t>
      </w:r>
      <w:r>
        <w:t xml:space="preserve">“consume as running service via API/gRPC/MCP, no submodule”</w:t>
      </w:r>
      <w:r>
        <w:t xml:space="preserve">. Operator-gated decision.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the ensemble’s video-analysis interface</w:t>
      </w:r>
      <w:r>
        <w:t xml:space="preserve"> </w:t>
      </w:r>
      <w:r>
        <w:t xml:space="preserve">(the mp4 → verdict entrypoint) before wiring the</w:t>
      </w:r>
      <w:r>
        <w:t xml:space="preserve"> </w:t>
      </w:r>
      <w:r>
        <w:t xml:space="preserve">§11.4.153 (4) loop — UNCONFIRMED in this pass.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helix_ollama_video</w:t>
      </w:r>
      <w:r>
        <w:rPr>
          <w:b/>
          <w:bCs/>
        </w:rPr>
        <w:t xml:space="preserve"> </w:t>
      </w:r>
      <w:r>
        <w:rPr>
          <w:b/>
          <w:bCs/>
        </w:rPr>
        <w:t xml:space="preserve">is the intended vision model host</w:t>
      </w:r>
      <w:r>
        <w:t xml:space="preserve"> </w:t>
      </w:r>
      <w:r>
        <w:t xml:space="preserve">for video analysis — UNCONFIRMED.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Decide PART 1 path</w:t>
      </w:r>
      <w:r>
        <w:t xml:space="preserve"> </w:t>
      </w:r>
      <w:r>
        <w:t xml:space="preserve">(Option A project-instantiation vs Option B §11.4.153 refinement) — the rule</w:t>
      </w:r>
      <w:r>
        <w:t xml:space="preserve"> </w:t>
      </w:r>
      <w:r>
        <w:t xml:space="preserve">already exists; a new §11.4.156 would duplicate §11.4.153/.154/.155.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2026-09-01T16:24:17Z</dcterms:created>
  <dcterms:modified xsi:type="dcterms:W3CDTF">2026-09-01T16:24:17Z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