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ob131_container_death_triage.sh"/>
    <w:p>
      <w:pPr>
        <w:pStyle w:val="Heading1"/>
      </w:pPr>
      <w:r>
        <w:rPr>
          <w:rStyle w:val="VerbatimChar"/>
        </w:rPr>
        <w:t xml:space="preserve">bob131_container_death_triage.sh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2026-08-21T17:06:26Z</w:t>
      </w:r>
      <w:r>
        <w:t xml:space="preserve"> </w:t>
      </w:r>
      <w:r>
        <w:rPr>
          <w:b/>
          <w:bCs/>
        </w:rPr>
        <w:t xml:space="preserve">Script:</w:t>
      </w:r>
      <w:r>
        <w:t xml:space="preserve"> </w:t>
      </w:r>
      <w:hyperlink r:id="rId9">
        <w:r>
          <w:rPr>
            <w:rStyle w:val="VerbatimChar"/>
          </w:rPr>
          <w:t xml:space="preserve">scripts/diagnostics/bob131_container_death_triage.sh</w:t>
        </w:r>
      </w:hyperlink>
      <w:r>
        <w:t xml:space="preserve"> </w:t>
      </w:r>
      <w:r>
        <w:rPr>
          <w:b/>
          <w:bCs/>
        </w:rPr>
        <w:t xml:space="preserve">Companion doc per §11.4.18.</w:t>
      </w:r>
      <w:r>
        <w:t xml:space="preserve"> </w:t>
      </w:r>
      <w:r>
        <w:t xml:space="preserve">Update both in the same commit.</w: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Classifies why a rootless-podman container stopped, into one of six mutually</w:t>
      </w:r>
      <w:r>
        <w:t xml:space="preserve"> </w:t>
      </w:r>
      <w:r>
        <w:t xml:space="preserve">exclusive classes, from evidence rather than from a guess. Written for BOB-131,</w:t>
      </w:r>
      <w:r>
        <w:t xml:space="preserve"> </w:t>
      </w:r>
      <w:r>
        <w:t xml:space="preserve">where a single ticket recorded</w:t>
      </w:r>
      <w:r>
        <w:t xml:space="preserve"> </w:t>
      </w:r>
      <w:r>
        <w:t xml:space="preserve">“podman conmon crash”</w:t>
      </w:r>
      <w:r>
        <w:t xml:space="preserve"> </w:t>
      </w:r>
      <w:r>
        <w:t xml:space="preserve">for two unrelated events —</w:t>
      </w:r>
      <w:r>
        <w:t xml:space="preserve"> </w:t>
      </w:r>
      <w:r>
        <w:t xml:space="preserve">a host power-off and a SIGSEGV inside the containerised process — and neither</w:t>
      </w:r>
      <w:r>
        <w:t xml:space="preserve"> </w:t>
      </w:r>
      <w:r>
        <w:t xml:space="preserve">was a conmon crash.</w:t>
      </w:r>
    </w:p>
    <w:p>
      <w:pPr>
        <w:pStyle w:val="BodyText"/>
      </w:pPr>
      <w:r>
        <w:t xml:space="preserve">The reasoning it encodes is documented in</w:t>
      </w:r>
      <w:r>
        <w:t xml:space="preserve"> </w:t>
      </w:r>
      <w:hyperlink r:id="rId10">
        <w:r>
          <w:rPr>
            <w:rStyle w:val="VerbatimChar"/>
          </w:rPr>
          <w:t xml:space="preserve">docs/guides/container-death-triage.md</w:t>
        </w:r>
      </w:hyperlink>
      <w:r>
        <w:t xml:space="preserve">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 </w:t>
      </w:r>
      <w:r>
        <w:t xml:space="preserve">additionally needs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and read access to</w:t>
      </w:r>
      <w:r>
        <w:t xml:space="preserve"> </w:t>
      </w:r>
      <w:r>
        <w:rPr>
          <w:rStyle w:val="VerbatimChar"/>
        </w:rPr>
        <w:t xml:space="preserve">/sys/fs/cgroup</w:t>
      </w:r>
      <w:r>
        <w:t xml:space="preserve">.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need neither</w:t>
      </w:r>
      <w:r>
        <w:t xml:space="preserve"> </w:t>
      </w:r>
      <w:r>
        <w:t xml:space="preserve">podman nor the journal, so they run anywhere.</w:t>
      </w:r>
    </w:p>
    <w:bookmarkEnd w:id="12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./scripts/diagnostics/bob131_container_death_triage.sh</w:t>
      </w:r>
      <w:r>
        <w:br/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8 golden fixtures</w:t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 collect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until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bundle.txt    </w:t>
      </w:r>
      <w:r>
        <w:rPr>
          <w:rStyle w:val="CommentTok"/>
        </w:rPr>
        <w:t xml:space="preserve"># read-only evidence bundle</w:t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 classify bundle.txt                                 </w:t>
      </w:r>
      <w:r>
        <w:rPr>
          <w:rStyle w:val="CommentTok"/>
        </w:rPr>
        <w:t xml:space="preserve"># VERDICT +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lines</w:t>
      </w:r>
    </w:p>
    <w:p>
      <w:pPr>
        <w:pStyle w:val="FirstParagraph"/>
      </w:pPr>
      <w:r>
        <w:rPr>
          <w:rStyle w:val="VerbatimChar"/>
        </w:rPr>
        <w:t xml:space="preserve">&lt;since&gt;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&lt;until&gt;</w:t>
      </w:r>
      <w:r>
        <w:t xml:space="preserve"> </w:t>
      </w:r>
      <w:r>
        <w:t xml:space="preserve">are host-local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timestamps</w:t>
      </w:r>
      <w:r>
        <w:t xml:space="preserve"> </w:t>
      </w:r>
      <w:r>
        <w:t xml:space="preserve">(</w:t>
      </w:r>
      <w:r>
        <w:rPr>
          <w:rStyle w:val="VerbatimChar"/>
        </w:rPr>
        <w:t xml:space="preserve">"2026-08-20 17:55:30"</w:t>
      </w:r>
      <w:r>
        <w:t xml:space="preserve">).</w:t>
      </w:r>
    </w:p>
    <w:bookmarkStart w:id="1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$ $S collect qbittorrent-proxy "2026-08-20 17:55:30" "2026-08-20 17:57:00" &gt; /tmp/b.txt</w:t>
      </w:r>
      <w:r>
        <w:br/>
      </w:r>
      <w:r>
        <w:rPr>
          <w:rStyle w:val="VerbatimChar"/>
        </w:rPr>
        <w:t xml:space="preserve">$ $S classify /tmp/b.txt</w:t>
      </w:r>
      <w:r>
        <w:br/>
      </w:r>
      <w:r>
        <w:rPr>
          <w:rStyle w:val="VerbatimChar"/>
        </w:rPr>
        <w:t xml:space="preserve">VERDICT: PROCESS-SIGSEGV</w:t>
      </w:r>
      <w:r>
        <w:br/>
      </w:r>
      <w:r>
        <w:rPr>
          <w:rStyle w:val="VerbatimChar"/>
        </w:rPr>
        <w:t xml:space="preserve">NOTE: exit 139 (=128+11) and/or a kernel SIGSEGV/ANOM_ABEND record:</w:t>
      </w:r>
      <w:r>
        <w:br/>
      </w:r>
      <w:r>
        <w:rPr>
          <w:rStyle w:val="VerbatimChar"/>
        </w:rPr>
        <w:t xml:space="preserve">NOTE: the container's PID 1 died of SIGSEGV.</w:t>
      </w:r>
      <w:r>
        <w:br/>
      </w:r>
      <w:r>
        <w:rPr>
          <w:rStyle w:val="VerbatimChar"/>
        </w:rPr>
        <w:t xml:space="preserve">...</w:t>
      </w:r>
    </w:p>
    <w:bookmarkEnd w:id="13"/>
    <w:bookmarkEnd w:id="14"/>
    <w:bookmarkStart w:id="15" w:name="classes"/>
    <w:p>
      <w:pPr>
        <w:pStyle w:val="Heading2"/>
      </w:pPr>
      <w:r>
        <w:t xml:space="preserve">Classes</w:t>
      </w:r>
    </w:p>
    <w:p>
      <w:pPr>
        <w:pStyle w:val="FirstParagraph"/>
      </w:pPr>
      <w:r>
        <w:rPr>
          <w:rStyle w:val="VerbatimChar"/>
        </w:rPr>
        <w:t xml:space="preserve">HOST-POWER-TRANSITION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THREAD-LIMIT-EXHAUSTION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CGROUP-OOM-KILL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PROCESS-SIGSEGV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ORCHESTRATED-STOP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CGROUP-MEMORY-CEILING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BodyText"/>
      </w:pPr>
      <w:r>
        <w:t xml:space="preserve">Evaluated in that order, most-specific first.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is a real answer: it</w:t>
      </w:r>
      <w:r>
        <w:t xml:space="preserve"> </w:t>
      </w:r>
      <w:r>
        <w:t xml:space="preserve">means no class matched, not that the tool failed.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rPr>
          <w:rStyle w:val="VerbatimChar"/>
        </w:rPr>
        <w:t xml:space="preserve">collect</w:t>
      </w:r>
      <w:r>
        <w:t xml:space="preserve"> </w:t>
      </w:r>
      <w:r>
        <w:t xml:space="preserve">writes a plain-text bundle of</w:t>
      </w:r>
      <w:r>
        <w:t xml:space="preserve"> </w:t>
      </w:r>
      <w:r>
        <w:rPr>
          <w:rStyle w:val="VerbatimChar"/>
        </w:rPr>
        <w:t xml:space="preserve">### SECTION</w:t>
      </w:r>
      <w:r>
        <w:t xml:space="preserve"> </w:t>
      </w:r>
      <w:r>
        <w:t xml:space="preserve">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EXIT_CODE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,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).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reads only that bundle, so verdicts are reproducible</w:t>
      </w:r>
      <w:r>
        <w:t xml:space="preserve"> </w:t>
      </w:r>
      <w:r>
        <w:t xml:space="preserve">offline and fixtures are just bundles.</w:t>
      </w:r>
    </w:p>
    <w:p>
      <w:pPr>
        <w:pStyle w:val="BodyText"/>
      </w:pPr>
      <w:r>
        <w:t xml:space="preserve">Two deliberate source choices, both §11.4.201: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EXIT_CODE</w:t>
      </w:r>
      <w:r>
        <w:rPr>
          <w:b/>
          <w:bCs/>
        </w:rPr>
        <w:t xml:space="preserve"> </w:t>
      </w:r>
      <w:r>
        <w:rPr>
          <w:b/>
          <w:bCs/>
        </w:rPr>
        <w:t xml:space="preserve">comes from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died exit=</w:t>
      </w:r>
      <w:r>
        <w:rPr>
          <w:b/>
          <w:bCs/>
        </w:rPr>
        <w:t xml:space="preserve"> </w:t>
      </w:r>
      <w:r>
        <w:rPr>
          <w:b/>
          <w:bCs/>
        </w:rPr>
        <w:t xml:space="preserve">event inside the window</w:t>
      </w:r>
      <w:r>
        <w:t xml:space="preserve">, falling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podman inspect</w:t>
      </w:r>
      <w:r>
        <w:t xml:space="preserve"> </w:t>
      </w:r>
      <w:r>
        <w:t xml:space="preserve">only when the window has none. Reading it from</w:t>
      </w:r>
      <w:r>
        <w:t xml:space="preserve"> </w:t>
      </w:r>
      <w:r>
        <w:rPr>
          <w:rStyle w:val="VerbatimChar"/>
        </w:rPr>
        <w:t xml:space="preserve">inspect</w:t>
      </w:r>
      <w:r>
        <w:t xml:space="preserve"> </w:t>
      </w:r>
      <w:r>
        <w:t xml:space="preserve">alone would describe whatever container carries that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today —</w:t>
      </w:r>
      <w:r>
        <w:t xml:space="preserve"> </w:t>
      </w:r>
      <w:r>
        <w:t xml:space="preserve">a different container for any historical window.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CGROUP</w:t>
      </w:r>
      <w:r>
        <w:rPr>
          <w:b/>
          <w:bCs/>
        </w:rPr>
        <w:t xml:space="preserve"> </w:t>
      </w:r>
      <w:r>
        <w:rPr>
          <w:b/>
          <w:bCs/>
        </w:rPr>
        <w:t xml:space="preserve">is read live</w:t>
      </w:r>
      <w:r>
        <w:t xml:space="preserve"> </w:t>
      </w:r>
      <w:r>
        <w:t xml:space="preserve">and the bundle says so. A dead container’s cgroup no</w:t>
      </w:r>
      <w:r>
        <w:t xml:space="preserve"> </w:t>
      </w:r>
      <w:r>
        <w:t xml:space="preserve">longer exists, so these numbers describe present pressure, never the</w:t>
      </w:r>
      <w:r>
        <w:t xml:space="preserve"> </w:t>
      </w:r>
      <w:r>
        <w:t xml:space="preserve">incident’s.</w:t>
      </w:r>
    </w:p>
    <w:bookmarkEnd w:id="16"/>
    <w:bookmarkStart w:id="17" w:name="side-effects"/>
    <w:p>
      <w:pPr>
        <w:pStyle w:val="Heading2"/>
      </w:pPr>
      <w:r>
        <w:t xml:space="preserve">Side effects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Every podman, journal and cgroup access is read-only. The script</w:t>
      </w:r>
      <w:r>
        <w:t xml:space="preserve"> </w:t>
      </w:r>
      <w:r>
        <w:t xml:space="preserve">starts, stops, restarts, removes and signals nothing — it issues no signal at</w:t>
      </w:r>
      <w:r>
        <w:t xml:space="preserve"> </w:t>
      </w:r>
      <w:r>
        <w:t xml:space="preserve">all, so it cannot reach pgid ≤ 1 (§11.4.263, Hard Stop #3).</w:t>
      </w:r>
    </w:p>
    <w:bookmarkEnd w:id="17"/>
    <w:bookmarkStart w:id="18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podman events</w:t>
      </w:r>
      <w:r>
        <w:t xml:space="preserve"> </w:t>
      </w:r>
      <w:r>
        <w:t xml:space="preserve">can return nothing for a window that demonstrably contains</w:t>
      </w:r>
      <w:r>
        <w:t xml:space="preserve"> </w:t>
      </w:r>
      <w:r>
        <w:t xml:space="preserve">events. Verdicts do not depend on it; the journal sections carry the weight.</w:t>
      </w:r>
    </w:p>
    <w:p>
      <w:pPr>
        <w:pStyle w:val="Compact"/>
        <w:numPr>
          <w:ilvl w:val="0"/>
          <w:numId w:val="1002"/>
        </w:numPr>
      </w:pPr>
      <w:r>
        <w:t xml:space="preserve">A bundle with no evidence at all classifies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which is also the</w:t>
      </w:r>
      <w:r>
        <w:t xml:space="preserve"> </w:t>
      </w:r>
      <w:r>
        <w:t xml:space="preserve">negative control’s expected result.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CGROUP-MEMORY-CEILING</w:t>
      </w:r>
      <w:r>
        <w:t xml:space="preserve"> </w:t>
      </w:r>
      <w:r>
        <w:t xml:space="preserve">is emitted as a primary verdict only when nothing</w:t>
      </w:r>
      <w:r>
        <w:t xml:space="preserve"> </w:t>
      </w:r>
      <w:r>
        <w:t xml:space="preserve">else matched. Otherwise it appears as a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— pressure, not cause.</w:t>
      </w:r>
    </w:p>
    <w:bookmarkEnd w:id="18"/>
    <w:bookmarkStart w:id="19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exit 0 on 8/8</w:t>
      </w:r>
    </w:p>
    <w:p>
      <w:pPr>
        <w:pStyle w:val="FirstParagraph"/>
      </w:pPr>
      <w:r>
        <w:t xml:space="preserve">Eight fixtures: one per class, a</w:t>
      </w:r>
      <w:r>
        <w:t xml:space="preserve"> </w:t>
      </w:r>
      <w:r>
        <w:rPr>
          <w:b/>
          <w:bCs/>
        </w:rPr>
        <w:t xml:space="preserve">negative control</w:t>
      </w:r>
      <w:r>
        <w:t xml:space="preserve"> </w:t>
      </w:r>
      <w:r>
        <w:t xml:space="preserve">(quiet container 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guarding against false positives, and a</w:t>
      </w:r>
      <w:r>
        <w:t xml:space="preserve"> </w:t>
      </w:r>
      <w:r>
        <w:rPr>
          <w:b/>
          <w:bCs/>
        </w:rPr>
        <w:t xml:space="preserve">conmon-carrier</w:t>
      </w:r>
      <w:r>
        <w:t xml:space="preserve"> </w:t>
      </w:r>
      <w:r>
        <w:t xml:space="preserve">fixture</w:t>
      </w:r>
      <w:r>
        <w:t xml:space="preserve"> </w:t>
      </w:r>
      <w:r>
        <w:t xml:space="preserve">asserting that a</w:t>
      </w:r>
      <w:r>
        <w:t xml:space="preserve"> </w:t>
      </w:r>
      <w:r>
        <w:rPr>
          <w:rStyle w:val="VerbatimChar"/>
        </w:rPr>
        <w:t xml:space="preserve">conmon &lt;error&gt;:</w:t>
      </w:r>
      <w:r>
        <w:t xml:space="preserve"> </w:t>
      </w:r>
      <w:r>
        <w:t xml:space="preserve">line does not divert the verdict.</w:t>
      </w:r>
    </w:p>
    <w:p>
      <w:pPr>
        <w:pStyle w:val="BodyText"/>
      </w:pPr>
      <w:r>
        <w:t xml:space="preserve">Verified 2026-08-21: 5 consecutive runs all</w:t>
      </w:r>
      <w:r>
        <w:t xml:space="preserve"> </w:t>
      </w:r>
      <w:r>
        <w:rPr>
          <w:rStyle w:val="VerbatimChar"/>
        </w:rPr>
        <w:t xml:space="preserve">PASS (8/8)</w:t>
      </w:r>
      <w:r>
        <w:t xml:space="preserve">, rc=0 (§11.4.50).</w:t>
      </w:r>
      <w:r>
        <w:t xml:space="preserve"> </w:t>
      </w:r>
      <w:r>
        <w:t xml:space="preserve">Paired §1.1 mutations both make it FAIL: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neuter the power-off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 (1/8 wrong)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  <w:r>
              <w:t xml:space="preserve"> </w:t>
            </w:r>
            <w:r>
              <w:rPr>
                <w:rStyle w:val="VerbatimChar"/>
              </w:rPr>
              <w:t xml:space="preserve">oom_kill &gt; 0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oom_kill &gt;=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 (5/8 wrong)</w:t>
            </w:r>
            <w:r>
              <w:t xml:space="preserve"> </w:t>
            </w:r>
            <w:r>
              <w:t xml:space="preserve">— including the negative control</w:t>
            </w:r>
          </w:p>
        </w:tc>
      </w:tr>
    </w:tbl>
    <w:bookmarkEnd w:id="19"/>
    <w:bookmarkStart w:id="21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VerbatimChar"/>
          </w:rPr>
          <w:t xml:space="preserve">docs/guides/container-death-triage.md</w:t>
        </w:r>
      </w:hyperlink>
      <w:r>
        <w:t xml:space="preserve"> </w:t>
      </w:r>
      <w:r>
        <w:t xml:space="preserve">— the triage reasoning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</w:rPr>
          <w:t xml:space="preserve">docs/incidents/2026-08-21-bob131-container-death-triage.md</w:t>
        </w:r>
      </w:hyperlink>
      <w:r>
        <w:t xml:space="preserve"> </w:t>
      </w:r>
      <w:r>
        <w:t xml:space="preserve">— the BOB-131 investigation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scripts/flight-recorder/</w:t>
      </w:r>
      <w:r>
        <w:t xml:space="preserve"> </w:t>
      </w:r>
      <w:r>
        <w:t xml:space="preserve">— continuous session-health sampling (OOM cgroup attribution, thread ramp, PSI)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2026-08-21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scripts/diagnostics/bob131_container_death_triage.sh" TargetMode="External" /><Relationship Type="http://schemas.openxmlformats.org/officeDocument/2006/relationships/hyperlink" Id="rId10" Target="../guides/container-death-triage.md" TargetMode="External" /><Relationship Type="http://schemas.openxmlformats.org/officeDocument/2006/relationships/hyperlink" Id="rId20" Target="../incidents/2026-08-21-bob131-container-death-tria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scripts/diagnostics/bob131_container_death_triage.sh" TargetMode="External" /><Relationship Type="http://schemas.openxmlformats.org/officeDocument/2006/relationships/hyperlink" Id="rId10" Target="../guides/container-death-triage.md" TargetMode="External" /><Relationship Type="http://schemas.openxmlformats.org/officeDocument/2006/relationships/hyperlink" Id="rId20" Target="../incidents/2026-08-21-bob131-container-death-tria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2026-09-01T16:19:13Z</dcterms:created>
  <dcterms:modified xsi:type="dcterms:W3CDTF">2026-09-01T16:19:13Z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