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edfb51d4f499d26fd25f011cf7c79c8cdd372f"/>
    <w:p>
      <w:pPr>
        <w:pStyle w:val="Heading1"/>
      </w:pPr>
      <w:r>
        <w:t xml:space="preserve">scripts/pre_build/check_cm_closure_seam_binds.sh — CM-CLOSURE-SEAM-BINDS gate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2026-08-21T16:00:00Z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BOB-136 (closure seam does not bind)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Make the</w:t>
      </w:r>
      <w:r>
        <w:t xml:space="preserve"> </w:t>
      </w:r>
      <w:r>
        <w:rPr>
          <w:b/>
          <w:bCs/>
        </w:rPr>
        <w:t xml:space="preserve">closure seam</w:t>
      </w:r>
      <w:r>
        <w:t xml:space="preserve"> </w:t>
      </w:r>
      <w:r>
        <w:t xml:space="preserve">bind mechanically. The gate reconciles what the</w:t>
      </w:r>
      <w:r>
        <w:t xml:space="preserve"> </w:t>
      </w:r>
      <w:r>
        <w:t xml:space="preserve">repository’s own git history says happened against what the workable-items</w:t>
      </w:r>
      <w:r>
        <w:t xml:space="preserve"> </w:t>
      </w:r>
      <w:r>
        <w:t xml:space="preserve">tracker says the state is, and reports — or, at the commit seam,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— when the two contradict each other.</w:t>
      </w:r>
    </w:p>
    <w:bookmarkEnd w:id="9"/>
    <w:bookmarkStart w:id="10" w:name="the-defect-it-closes-bob-136"/>
    <w:p>
      <w:pPr>
        <w:pStyle w:val="Heading2"/>
      </w:pPr>
      <w:r>
        <w:t xml:space="preserve">The defect it closes (BOB-136)</w:t>
      </w:r>
    </w:p>
    <w:p>
      <w:pPr>
        <w:pStyle w:val="FirstParagraph"/>
      </w:pPr>
      <w:r>
        <w:t xml:space="preserve">Nothing in this repo ever linked a commit back to its tracker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 check</w:t>
            </w:r>
          </w:p>
        </w:tc>
        <w:tc>
          <w:tcPr/>
          <w:p>
            <w:pPr>
              <w:pStyle w:val="Compact"/>
            </w:pPr>
            <w:r>
              <w:t xml:space="preserve">compares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workable-items validate</w:t>
            </w:r>
          </w:p>
        </w:tc>
        <w:tc>
          <w:tcPr/>
          <w:p>
            <w:pPr>
              <w:pStyle w:val="Compact"/>
            </w:pPr>
            <w:r>
              <w:t xml:space="preserve">the DB against</w:t>
            </w:r>
            <w:r>
              <w:t xml:space="preserve"> </w:t>
            </w:r>
            <w:r>
              <w:rPr>
                <w:b/>
                <w:bCs/>
              </w:rPr>
              <w:t xml:space="preserve">its own</w:t>
            </w:r>
            <w:r>
              <w:t xml:space="preserve"> </w:t>
            </w:r>
            <w:r>
              <w:t xml:space="preserve">invariants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workable-items diff</w:t>
            </w:r>
          </w:p>
        </w:tc>
        <w:tc>
          <w:tcPr/>
          <w:p>
            <w:pPr>
              <w:pStyle w:val="Compact"/>
            </w:pPr>
            <w:r>
              <w:t xml:space="preserve">the DB against</w:t>
            </w:r>
            <w:r>
              <w:t xml:space="preserve"> </w:t>
            </w:r>
            <w:r>
              <w:rPr>
                <w:b/>
                <w:bCs/>
              </w:rPr>
              <w:t xml:space="preserve">the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docs-sync-commit-seam.sh</w:t>
            </w:r>
            <w:r>
              <w:t xml:space="preserve"> </w:t>
            </w:r>
            <w:r>
              <w:t xml:space="preserve">CHECKS 1–3</w:t>
            </w:r>
          </w:p>
        </w:tc>
        <w:tc>
          <w:tcPr/>
          <w:p>
            <w:pPr>
              <w:pStyle w:val="Compact"/>
            </w:pPr>
            <w:r>
              <w:t xml:space="preserve">the DB against</w:t>
            </w:r>
            <w:r>
              <w:t xml:space="preserve"> </w:t>
            </w:r>
            <w:r>
              <w:rPr>
                <w:b/>
                <w:bCs/>
              </w:rPr>
              <w:t xml:space="preserve">the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 verify</w:t>
            </w:r>
          </w:p>
        </w:tc>
        <w:tc>
          <w:tcPr/>
          <w:p>
            <w:pPr>
              <w:pStyle w:val="Compact"/>
            </w:pPr>
            <w:r>
              <w:t xml:space="preserve">the Markdown against</w:t>
            </w:r>
            <w:r>
              <w:t xml:space="preserve"> </w:t>
            </w:r>
            <w:r>
              <w:rPr>
                <w:b/>
                <w:bCs/>
              </w:rPr>
              <w:t xml:space="preserve">its exports</w:t>
            </w:r>
          </w:p>
        </w:tc>
      </w:tr>
    </w:tbl>
    <w:p>
      <w:pPr>
        <w:pStyle w:val="BodyText"/>
      </w:pPr>
      <w:r>
        <w:t xml:space="preserve">Every one of those compares the tracker to</w:t>
      </w:r>
      <w:r>
        <w:t xml:space="preserve"> </w:t>
      </w:r>
      <w:r>
        <w:rPr>
          <w:i/>
          <w:iCs/>
        </w:rPr>
        <w:t xml:space="preserve">itself</w:t>
      </w:r>
      <w:r>
        <w:t xml:space="preserve">. All four are green</w:t>
      </w:r>
      <w:r>
        <w:t xml:space="preserve"> </w:t>
      </w:r>
      <w:r>
        <w:t xml:space="preserve">while a row says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and git says the work landed weeks ago. Closure</w:t>
      </w:r>
      <w:r>
        <w:t xml:space="preserve"> </w:t>
      </w:r>
      <w:r>
        <w:t xml:space="preserve">therefore depended on a human remembering, and demonstrably did not happen</w:t>
      </w:r>
      <w:r>
        <w:t xml:space="preserve"> </w:t>
      </w:r>
      <w:r>
        <w:t xml:space="preserve">— a 2026-08-20 sweep found</w:t>
      </w:r>
      <w:r>
        <w:t xml:space="preserve"> </w:t>
      </w:r>
      <w:r>
        <w:rPr>
          <w:rStyle w:val="VerbatimChar"/>
        </w:rPr>
        <w:t xml:space="preserve">BOB-076</w:t>
      </w:r>
      <w:r>
        <w:t xml:space="preserve">, whose commit message literally says</w:t>
      </w:r>
      <w:r>
        <w:t xml:space="preserve"> </w:t>
      </w:r>
      <w:r>
        <w:rPr>
          <w:rStyle w:val="VerbatimChar"/>
        </w:rPr>
        <w:t xml:space="preserve">closes BOB-076</w:t>
      </w:r>
      <w:r>
        <w:t xml:space="preserve">, still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and a 2026-08-21 sweep found 20 more.</w:t>
      </w:r>
    </w:p>
    <w:p>
      <w:pPr>
        <w:pStyle w:val="BodyText"/>
      </w:pPr>
      <w:r>
        <w:t xml:space="preserve">A status field that does not move when work lands stops being evidence and</w:t>
      </w:r>
      <w:r>
        <w:t xml:space="preserve"> </w:t>
      </w:r>
      <w:r>
        <w:t xml:space="preserve">becomes decoration, and every downstream reader of status silently degrades:</w:t>
      </w:r>
      <w:r>
        <w:t xml:space="preserve"> </w:t>
      </w:r>
      <w:r>
        <w:t xml:space="preserve">release gates, the</w:t>
      </w:r>
      <w:r>
        <w:t xml:space="preserve"> </w:t>
      </w:r>
      <w:r>
        <w:t xml:space="preserve">“is this owed?”</w:t>
      </w:r>
      <w:r>
        <w:t xml:space="preserve"> </w:t>
      </w:r>
      <w:r>
        <w:t xml:space="preserve">question, and the §11.4.55 reopen counts</w:t>
      </w:r>
      <w:r>
        <w:t xml:space="preserve"> </w:t>
      </w:r>
      <w:r>
        <w:t xml:space="preserve">used to rank the most fragile work. §11.4.227: an item’s done state is its</w:t>
      </w:r>
      <w:r>
        <w:t xml:space="preserve"> </w:t>
      </w:r>
      <w:r>
        <w:rPr>
          <w:b/>
          <w:bCs/>
        </w:rPr>
        <w:t xml:space="preserve">seam</w:t>
      </w:r>
      <w:r>
        <w:t xml:space="preserve"> </w:t>
      </w:r>
      <w:r>
        <w:t xml:space="preserve">landing, not its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landing. This gate is that seam.</w:t>
      </w:r>
    </w:p>
    <w:bookmarkEnd w:id="10"/>
    <w:bookmarkStart w:id="11" w:name="X650a3d4d7fe9b3e0106af0a1c44be64c43926d5"/>
    <w:p>
      <w:pPr>
        <w:pStyle w:val="Heading2"/>
      </w:pPr>
      <w:r>
        <w:t xml:space="preserve">What it asserts — and deliberately does not</w:t>
      </w:r>
    </w:p>
    <w:p>
      <w:pPr>
        <w:pStyle w:val="FirstParagraph"/>
      </w:pPr>
      <w:r>
        <w:t xml:space="preserve">The gate never decides</w:t>
      </w:r>
      <w:r>
        <w:t xml:space="preserve"> </w:t>
      </w:r>
      <w:r>
        <w:t xml:space="preserve">“this item is finished”</w:t>
      </w:r>
      <w:r>
        <w:t xml:space="preserve">. It asserts the far narrower,</w:t>
      </w:r>
      <w:r>
        <w:t xml:space="preserve"> </w:t>
      </w:r>
      <w:r>
        <w:t xml:space="preserve">mechanically decidable proposition that a specific</w:t>
      </w:r>
      <w:r>
        <w:t xml:space="preserve"> </w:t>
      </w:r>
      <w:r>
        <w:rPr>
          <w:i/>
          <w:iCs/>
        </w:rPr>
        <w:t xml:space="preserve">status literal is false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a message says it CLOSES/FIXES/RESOLVES</w:t>
            </w:r>
            <w:r>
              <w:t xml:space="preserve"> </w:t>
            </w:r>
            <w:r>
              <w:rPr>
                <w:rStyle w:val="VerbatimChar"/>
              </w:rPr>
              <w:t xml:space="preserve">&lt;id&gt;</w:t>
            </w:r>
            <w:r>
              <w:t xml:space="preserve">, yet</w:t>
            </w:r>
            <w:r>
              <w:t xml:space="preserve"> </w:t>
            </w:r>
            <w:r>
              <w:rPr>
                <w:rStyle w:val="VerbatimChar"/>
              </w:rPr>
              <w:t xml:space="preserve">&lt;id&gt;</w:t>
            </w:r>
            <w:r>
              <w:t xml:space="preserve"> </w:t>
            </w:r>
            <w:r>
              <w:t xml:space="preserve">is non-terminal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UNRECONCILED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work-type</w:t>
            </w:r>
            <w:r>
              <w:t xml:space="preserve"> </w:t>
            </w:r>
            <w:r>
              <w:t xml:space="preserve">commit declares</w:t>
            </w:r>
            <w:r>
              <w:t xml:space="preserve"> </w:t>
            </w:r>
            <w:r>
              <w:rPr>
                <w:rStyle w:val="VerbatimChar"/>
              </w:rPr>
              <w:t xml:space="preserve">&lt;id&gt;</w:t>
            </w:r>
            <w:r>
              <w:t xml:space="preserve">, yet</w:t>
            </w:r>
            <w:r>
              <w:t xml:space="preserve"> </w:t>
            </w:r>
            <w:r>
              <w:rPr>
                <w:rStyle w:val="VerbatimChar"/>
              </w:rPr>
              <w:t xml:space="preserve">&lt;id&gt;</w:t>
            </w:r>
            <w:r>
              <w:t xml:space="preserve"> </w:t>
            </w:r>
            <w:r>
              <w:t xml:space="preserve">is exactly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 </w:t>
            </w:r>
            <w:r>
              <w:t xml:space="preserve">— which asserts</w:t>
            </w:r>
            <w:r>
              <w:t xml:space="preserve"> </w:t>
            </w:r>
            <w:r>
              <w:rPr>
                <w:i/>
                <w:iCs/>
              </w:rPr>
              <w:t xml:space="preserve">no work has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UNTRACKED-ID</w:t>
            </w:r>
          </w:p>
        </w:tc>
        <w:tc>
          <w:tcPr/>
          <w:p>
            <w:pPr>
              <w:pStyle w:val="Compact"/>
            </w:pPr>
            <w:r>
              <w:t xml:space="preserve">a commit declares</w:t>
            </w:r>
            <w:r>
              <w:t xml:space="preserve"> </w:t>
            </w:r>
            <w:r>
              <w:rPr>
                <w:rStyle w:val="VerbatimChar"/>
              </w:rPr>
              <w:t xml:space="preserve">&lt;id&gt;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&lt;id&gt;</w:t>
            </w:r>
            <w:r>
              <w:t xml:space="preserve"> </w:t>
            </w:r>
            <w:r>
              <w:t xml:space="preserve">has no row at all</w:t>
            </w:r>
          </w:p>
        </w:tc>
      </w:tr>
    </w:tbl>
    <w:p>
      <w:pPr>
        <w:pStyle w:val="BodyText"/>
      </w:pPr>
      <w:r>
        <w:t xml:space="preserve">Remediation for</w:t>
      </w:r>
      <w:r>
        <w:t xml:space="preserve"> </w:t>
      </w:r>
      <w:r>
        <w:rPr>
          <w:rStyle w:val="VerbatimChar"/>
        </w:rPr>
        <w:t xml:space="preserve">UNRECONCILED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close; the gate does</w:t>
      </w:r>
      <w:r>
        <w:t xml:space="preserve"> </w:t>
      </w:r>
      <w:r>
        <w:t xml:space="preserve">not presume which. Statuses that already tell the truth about landed work —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 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, and every terminal</w:t>
      </w:r>
      <w:r>
        <w:t xml:space="preserve"> </w:t>
      </w:r>
      <w:r>
        <w:rPr>
          <w:rStyle w:val="VerbatimChar"/>
        </w:rPr>
        <w:t xml:space="preserve">... (→ Fixed.md)</w:t>
      </w:r>
      <w:r>
        <w:t xml:space="preserve"> </w:t>
      </w:r>
      <w:r>
        <w:t xml:space="preserve">— are never flagged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UNRECONCILED</w:t>
      </w:r>
      <w:r>
        <w:t xml:space="preserve">. That scoping is what keeps it from firing on a healthy</w:t>
      </w:r>
      <w:r>
        <w:t xml:space="preserve"> </w:t>
      </w:r>
      <w:r>
        <w:t xml:space="preserve">tree (§11.4.201(1)).</w:t>
      </w:r>
    </w:p>
    <w:bookmarkEnd w:id="11"/>
    <w:bookmarkStart w:id="12" w:name="Xddd76efa37523e87687a9ac748ba26abe95931d"/>
    <w:p>
      <w:pPr>
        <w:pStyle w:val="Heading2"/>
      </w:pPr>
      <w:r>
        <w:t xml:space="preserve">Carrier controls (§11.4.201(7)(a) — match structure, not substring)</w:t>
      </w:r>
    </w:p>
    <w:p>
      <w:pPr>
        <w:pStyle w:val="FirstParagraph"/>
      </w:pPr>
      <w:r>
        <w:t xml:space="preserve">A gate that flags correctly-tracked work is exactly as broken as one that</w:t>
      </w:r>
      <w:r>
        <w:t xml:space="preserve"> </w:t>
      </w:r>
      <w:r>
        <w:t xml:space="preserve">misses stale rows: it gets switched off within a week. Links are therefore</w:t>
      </w:r>
      <w:r>
        <w:t xml:space="preserve"> </w:t>
      </w:r>
      <w:r>
        <w:t xml:space="preserve">extracted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— conventional-commit scope token, bare-id subject</w:t>
      </w:r>
      <w:r>
        <w:t xml:space="preserve"> </w:t>
      </w:r>
      <w:r>
        <w:t xml:space="preserve">prefix, closure-keyword adjacency — never by</w:t>
      </w:r>
      <w:r>
        <w:t xml:space="preserve"> </w:t>
      </w:r>
      <w:r>
        <w:t xml:space="preserve">“the message contains the</w:t>
      </w:r>
      <w:r>
        <w:t xml:space="preserve"> </w:t>
      </w:r>
      <w:r>
        <w:t xml:space="preserve">string”</w:t>
      </w:r>
      <w:r>
        <w:t xml:space="preserve">. Four carrier classes are excluded by construction, each with a</w:t>
      </w:r>
      <w:r>
        <w:t xml:space="preserve"> </w:t>
      </w:r>
      <w:r>
        <w:t xml:space="preserve">fixture in the meta-test: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filing verb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docs(tracker): file BOB-149</w:t>
            </w:r>
            <w:r>
              <w:t xml:space="preserve"> </w:t>
            </w:r>
            <w:r>
              <w:t xml:space="preserve">— filing an item is not doing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path 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docs/qa/BOB-117/closure-evidence.md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quoted text</w:t>
            </w:r>
          </w:p>
        </w:tc>
        <w:tc>
          <w:tcPr/>
          <w:p>
            <w:pPr>
              <w:pStyle w:val="Compact"/>
            </w:pPr>
            <w:r>
              <w:t xml:space="preserve">a work commit quoting</w:t>
            </w:r>
            <w:r>
              <w:t xml:space="preserve"> </w:t>
            </w:r>
            <w:r>
              <w:rPr>
                <w:rStyle w:val="VerbatimChar"/>
              </w:rPr>
              <w:t xml:space="preserve">"closes BOB-076"</w:t>
            </w:r>
            <w:r>
              <w:t xml:space="preserve">, or an indented /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-quoted pasted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non-work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docs(BOB-141): 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</w:t>
            </w:r>
          </w:p>
        </w:tc>
      </w:tr>
    </w:tbl>
    <w:p>
      <w:pPr>
        <w:pStyle w:val="BodyText"/>
      </w:pPr>
      <w:r>
        <w:t xml:space="preserve">Live proof of c1:</w:t>
      </w:r>
      <w:r>
        <w:t xml:space="preserve"> </w:t>
      </w:r>
      <w:r>
        <w:rPr>
          <w:rStyle w:val="VerbatimChar"/>
        </w:rPr>
        <w:t xml:space="preserve">BOB-146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BOB-149</w:t>
      </w:r>
      <w:r>
        <w:t xml:space="preserve"> </w:t>
      </w:r>
      <w:r>
        <w:t xml:space="preserve">were both</w:t>
      </w:r>
      <w:r>
        <w:t xml:space="preserve"> </w:t>
      </w:r>
      <w:r>
        <w:rPr>
          <w:i/>
          <w:iCs/>
        </w:rPr>
        <w:t xml:space="preserve">filed</w:t>
      </w:r>
      <w:r>
        <w:t xml:space="preserve"> </w:t>
      </w:r>
      <w:r>
        <w:t xml:space="preserve">on 2026-08-21 and</w:t>
      </w:r>
      <w:r>
        <w:t xml:space="preserve"> </w:t>
      </w:r>
      <w:r>
        <w:t xml:space="preserve">the sweep reports neither.</w:t>
      </w:r>
    </w:p>
    <w:p>
      <w:pPr>
        <w:pStyle w:val="BodyText"/>
      </w:pPr>
      <w:r>
        <w:t xml:space="preserve">Both real in-repo spellings are handled: compact 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closes BOB-081/083/089/117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docs(BOB-124/125/126)</w:t>
      </w:r>
      <w:r>
        <w:t xml:space="preserve">) and suffixed scope</w:t>
      </w:r>
      <w:r>
        <w:t xml:space="preserve"> </w:t>
      </w:r>
      <w:r>
        <w:t xml:space="preserve">tokens (</w:t>
      </w:r>
      <w:r>
        <w:rPr>
          <w:rStyle w:val="VerbatimChar"/>
        </w:rPr>
        <w:t xml:space="preserve">BOB-111-followup</w:t>
      </w:r>
      <w:r>
        <w:t xml:space="preserve">,</w:t>
      </w:r>
      <w:r>
        <w:t xml:space="preserve"> </w:t>
      </w:r>
      <w:r>
        <w:rPr>
          <w:rStyle w:val="VerbatimChar"/>
        </w:rPr>
        <w:t xml:space="preserve">BOB-122-fallout</w:t>
      </w:r>
      <w:r>
        <w:t xml:space="preserve">). A needle exercising only the</w:t>
      </w:r>
      <w:r>
        <w:t xml:space="preserve"> </w:t>
      </w:r>
      <w:r>
        <w:t xml:space="preserve">plain spelling would certify a blind query.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scripts/pre_build/check_cm_closure_seam_binds.sh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sweep all history</w:t>
      </w:r>
      <w:r>
        <w:br/>
      </w:r>
      <w:r>
        <w:rPr>
          <w:rStyle w:val="ExtensionTok"/>
        </w:rPr>
        <w:t xml:space="preserve">scripts/pre_build/check_cm_closure_seam_binds.sh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--report-only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audit, never exit 1</w:t>
      </w:r>
      <w:r>
        <w:br/>
      </w:r>
      <w:r>
        <w:rPr>
          <w:rStyle w:val="ExtensionTok"/>
        </w:rPr>
        <w:t xml:space="preserve">scripts/pre_build/check_cm_closure_seam_binds.sh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--message-file</w:t>
      </w:r>
      <w:r>
        <w:rPr>
          <w:rStyle w:val="NormalTok"/>
        </w:rPr>
        <w:t xml:space="preserve"> F </w:t>
      </w:r>
      <w:r>
        <w:rPr>
          <w:rStyle w:val="CommentTok"/>
        </w:rPr>
        <w:t xml:space="preserve"># COMMIT-SEAM mode</w:t>
      </w:r>
      <w:r>
        <w:br/>
      </w:r>
      <w:r>
        <w:rPr>
          <w:rStyle w:val="ExtensionTok"/>
        </w:rPr>
        <w:t xml:space="preserve">scripts/pre_build/check_cm_closure_seam_binds.sh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COMMIT-SEAM mode</w:t>
      </w:r>
      <w:r>
        <w:br/>
      </w:r>
      <w:r>
        <w:rPr>
          <w:rStyle w:val="ExtensionTok"/>
        </w:rPr>
        <w:t xml:space="preserve">scripts/pre_build/check_cm_closure_seam_binds.sh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--self-test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§11.4.107(10)</w:t>
      </w:r>
    </w:p>
    <w:p>
      <w:pPr>
        <w:pStyle w:val="FirstParagraph"/>
      </w:pPr>
      <w:r>
        <w:t xml:space="preserve">Options:</w:t>
      </w:r>
      <w:r>
        <w:t xml:space="preserve"> </w:t>
      </w:r>
      <w:r>
        <w:rPr>
          <w:rStyle w:val="VerbatimChar"/>
        </w:rPr>
        <w:t xml:space="preserve">--repo DIR</w:t>
      </w:r>
      <w:r>
        <w:t xml:space="preserve"> </w:t>
      </w:r>
      <w:r>
        <w:rPr>
          <w:rStyle w:val="VerbatimChar"/>
        </w:rPr>
        <w:t xml:space="preserve">--db PATH</w:t>
      </w:r>
      <w:r>
        <w:t xml:space="preserve"> </w:t>
      </w:r>
      <w:r>
        <w:rPr>
          <w:rStyle w:val="VerbatimChar"/>
        </w:rPr>
        <w:t xml:space="preserve">--prefix P</w:t>
      </w:r>
      <w:r>
        <w:t xml:space="preserve"> </w:t>
      </w:r>
      <w:r>
        <w:rPr>
          <w:rStyle w:val="VerbatimChar"/>
        </w:rPr>
        <w:t xml:space="preserve">--rev-range R</w:t>
      </w:r>
      <w:r>
        <w:t xml:space="preserve"> </w:t>
      </w:r>
      <w:r>
        <w:rPr>
          <w:rStyle w:val="VerbatimChar"/>
        </w:rPr>
        <w:t xml:space="preserve">-v</w:t>
      </w:r>
    </w:p>
    <w:bookmarkEnd w:id="13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A — closure seam.</w:t>
      </w:r>
      <w:r>
        <w:t xml:space="preserve"> </w:t>
      </w:r>
      <w:r>
        <w:t xml:space="preserve">Extracts structural commit↔item links, joins</w:t>
      </w:r>
      <w:r>
        <w:t xml:space="preserve"> </w:t>
      </w:r>
      <w:r>
        <w:t xml:space="preserve">them against the tracker (read-only; the gate never writes to the DB) and</w:t>
      </w:r>
      <w:r>
        <w:t xml:space="preserve"> </w:t>
      </w:r>
      <w:r>
        <w:t xml:space="preserve">classifies as above.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B — flagless-diff callers.</w:t>
      </w:r>
      <w:r>
        <w:t xml:space="preserve"> </w:t>
      </w:r>
      <w:r>
        <w:t xml:space="preserve">BOB-136 acceptance (b). Sweep mode</w:t>
      </w:r>
      <w:r>
        <w:t xml:space="preserve"> </w:t>
      </w:r>
      <w:r>
        <w:t xml:space="preserve">only.</w:t>
      </w:r>
      <w:r>
        <w:t xml:space="preserve"> </w:t>
      </w:r>
      <w:r>
        <w:rPr>
          <w:rStyle w:val="VerbatimChar"/>
        </w:rPr>
        <w:t xml:space="preserve">workable-items diff --db X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rPr>
          <w:rStyle w:val="VerbatimChar"/>
        </w:rPr>
        <w:t xml:space="preserve">--issues</w:t>
      </w:r>
      <w:r>
        <w:t xml:space="preserve">/</w:t>
      </w:r>
      <w:r>
        <w:rPr>
          <w:rStyle w:val="VerbatimChar"/>
        </w:rPr>
        <w:t xml:space="preserve">--fixed</w:t>
      </w:r>
      <w:r>
        <w:t xml:space="preserve"> </w:t>
      </w:r>
      <w:r>
        <w:t xml:space="preserve">opens</w:t>
      </w:r>
      <w:r>
        <w:t xml:space="preserve"> </w:t>
      </w:r>
      <w:r>
        <w:t xml:space="preserve">zero Markdown files and still prints</w:t>
      </w:r>
      <w:r>
        <w:t xml:space="preserve"> </w:t>
      </w:r>
      <w:r>
        <w:rPr>
          <w:rStyle w:val="VerbatimChar"/>
        </w:rPr>
        <w:t xml:space="preserve">DB and Markdown are in sync</w:t>
      </w:r>
      <w:r>
        <w:t xml:space="preserve"> </w:t>
      </w:r>
      <w:r>
        <w:t xml:space="preserve">— a</w:t>
      </w:r>
      <w:r>
        <w:t xml:space="preserve"> </w:t>
      </w:r>
      <w:r>
        <w:t xml:space="preserve">§11.4.201(6)</w:t>
      </w:r>
      <w:r>
        <w:t xml:space="preserve"> </w:t>
      </w:r>
      <w:r>
        <w:rPr>
          <w:b/>
          <w:bCs/>
        </w:rPr>
        <w:t xml:space="preserve">false-null</w:t>
      </w:r>
      <w:r>
        <w:t xml:space="preserve">. Until the shared engine refuses that</w:t>
      </w:r>
      <w:r>
        <w:t xml:space="preserve"> </w:t>
      </w:r>
      <w:r>
        <w:t xml:space="preserve">invocation, no caller here may use it. Scanned over tracked executable</w:t>
      </w:r>
      <w:r>
        <w:t xml:space="preserve"> </w:t>
      </w:r>
      <w:r>
        <w:t xml:space="preserve">files only: docs and this gate’s own header legitimately quote the</w:t>
      </w:r>
      <w:r>
        <w:t xml:space="preserve"> </w:t>
      </w:r>
      <w:r>
        <w:t xml:space="preserve">flagless form, and matching those would be the exact carrier mistake.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needle (§11.4.201(7)(b)).</w:t>
      </w:r>
      <w:r>
        <w:t xml:space="preserve"> </w:t>
      </w:r>
      <w:r>
        <w:t xml:space="preserve">A zero-finding verdict is worthless</w:t>
      </w:r>
      <w:r>
        <w:t xml:space="preserve"> </w:t>
      </w:r>
      <w:r>
        <w:t xml:space="preserve">if the extractor is blind — a blind query and a clean tree return the</w:t>
      </w:r>
      <w:r>
        <w:t xml:space="preserve"> </w:t>
      </w:r>
      <w:r>
        <w:t xml:space="preserve">identical quiet zero. Before reporting, the gate runs a synthetic message</w:t>
      </w:r>
      <w:r>
        <w:t xml:space="preserve"> </w:t>
      </w:r>
      <w:r>
        <w:t xml:space="preserve">carrying the</w:t>
      </w:r>
      <w:r>
        <w:t xml:space="preserve"> </w:t>
      </w:r>
      <w:r>
        <w:rPr>
          <w:i/>
          <w:iCs/>
        </w:rPr>
        <w:t xml:space="preserve">same load-bearing features</w:t>
      </w:r>
      <w:r>
        <w:t xml:space="preserve"> </w:t>
      </w:r>
      <w:r>
        <w:t xml:space="preserve">as the real query (scope form,</w:t>
      </w:r>
      <w:r>
        <w:t xml:space="preserve"> </w:t>
      </w:r>
      <w:r>
        <w:t xml:space="preserve">compact run, closure keyword) and aborts with exit 2 if fewer than 4/4</w:t>
      </w:r>
      <w:r>
        <w:t xml:space="preserve"> </w:t>
      </w:r>
      <w:r>
        <w:t xml:space="preserve">known links are seen.</w:t>
      </w:r>
    </w:p>
    <w:bookmarkEnd w:id="14"/>
    <w:bookmarkStart w:id="15" w:name="commit-seam-mode"/>
    <w:p>
      <w:pPr>
        <w:pStyle w:val="Heading2"/>
      </w:pPr>
      <w:r>
        <w:t xml:space="preserve">Commit-seam mode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ids the pending message declares. It is monotone by</w:t>
      </w:r>
      <w:r>
        <w:t xml:space="preserve"> </w:t>
      </w:r>
      <w:r>
        <w:t xml:space="preserve">construction: it can refuse the commit about to create fresh drift, and is</w:t>
      </w:r>
      <w:r>
        <w:t xml:space="preserve"> </w:t>
      </w:r>
      <w:r>
        <w:t xml:space="preserve">structurally incapable of blocking on the pre-existing backlog. That is why</w:t>
      </w:r>
      <w:r>
        <w:t xml:space="preserve"> </w:t>
      </w:r>
      <w:r>
        <w:t xml:space="preserve">it needs no baseline/ratchet file — a file which would itself rot (§11.4.215).</w:t>
      </w:r>
    </w:p>
    <w:p>
      <w:pPr>
        <w:pStyle w:val="BodyText"/>
      </w:pPr>
      <w:r>
        <w:t xml:space="preserve">Wired via</w:t>
      </w:r>
      <w:r>
        <w:t xml:space="preserve"> </w:t>
      </w:r>
      <w:r>
        <w:rPr>
          <w:rStyle w:val="VerbatimChar"/>
        </w:rPr>
        <w:t xml:space="preserve">scripts/hooks/docs-sync-commit-seam.sh</w:t>
      </w:r>
      <w:r>
        <w:t xml:space="preserve"> </w:t>
      </w:r>
      <w:r>
        <w:rPr>
          <w:b/>
          <w:bCs/>
        </w:rPr>
        <w:t xml:space="preserve">CHECK 5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invokes with</w:t>
      </w:r>
      <w:r>
        <w:t xml:space="preserve"> </w:t>
      </w:r>
      <w:r>
        <w:rPr>
          <w:rStyle w:val="VerbatimChar"/>
        </w:rPr>
        <w:t xml:space="preserve">--message "$MSG"</w:t>
      </w:r>
      <w:r>
        <w:t xml:space="preserve">. CHECK 5 is</w:t>
      </w:r>
      <w:r>
        <w:t xml:space="preserve"> </w:t>
      </w:r>
      <w:r>
        <w:t xml:space="preserve">placed deliberately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hook’s</w:t>
      </w:r>
      <w:r>
        <w:t xml:space="preserve"> </w:t>
      </w:r>
      <w:r>
        <w:t xml:space="preserve">“no docs-chain source staged”</w:t>
      </w:r>
      <w:r>
        <w:t xml:space="preserve"> </w:t>
      </w:r>
      <w:r>
        <w:t xml:space="preserve">early</w:t>
      </w:r>
      <w:r>
        <w:t xml:space="preserve"> </w:t>
      </w:r>
      <w:r>
        <w:t xml:space="preserve">exit: CHECKS 1–4 all trigger on a staged tracker file, but a commit landing a</w:t>
      </w:r>
      <w:r>
        <w:t xml:space="preserve"> </w:t>
      </w:r>
      <w:r>
        <w:t xml:space="preserve">pure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fix stages no tracker file at all — and that is precisely the</w:t>
      </w:r>
      <w:r>
        <w:t xml:space="preserve"> </w:t>
      </w:r>
      <w:r>
        <w:t xml:space="preserve">commit whose row fails to move. Running it after the early exit would make it</w:t>
      </w:r>
      <w:r>
        <w:t xml:space="preserve"> </w:t>
      </w:r>
      <w:r>
        <w:t xml:space="preserve">structurally unable to see the defect it exists for (§11.4.196(F)).</w:t>
      </w:r>
      <w:r>
        <w:t xml:space="preserve"> </w:t>
      </w:r>
      <w:r>
        <w:t xml:space="preserve">Backward-compatible: without</w:t>
      </w:r>
      <w:r>
        <w:t xml:space="preserve"> </w:t>
      </w:r>
      <w:r>
        <w:rPr>
          <w:rStyle w:val="VerbatimChar"/>
        </w:rPr>
        <w:t xml:space="preserve">--message</w:t>
      </w:r>
      <w:r>
        <w:t xml:space="preserve">, CHECK 5 does not run.</w:t>
      </w:r>
    </w:p>
    <w:bookmarkEnd w:id="15"/>
    <w:bookmarkStart w:id="16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PASS, or</w:t>
            </w:r>
            <w:r>
              <w:t xml:space="preserve"> </w:t>
            </w:r>
            <w:r>
              <w:rPr>
                <w:rStyle w:val="VerbatimChar"/>
              </w:rPr>
              <w:t xml:space="preserve">--report-only</w:t>
            </w:r>
            <w:r>
              <w:t xml:space="preserve">, or an honest §11.4.3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 — findings, each named on stderr with its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ERROR — usage, missing repo, or a failed control needle</w:t>
            </w:r>
          </w:p>
        </w:tc>
      </w:tr>
    </w:tbl>
    <w:p>
      <w:pPr>
        <w:pStyle w:val="BodyText"/>
      </w:pPr>
      <w:r>
        <w:t xml:space="preserve">An absent DB or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is a loud SKIP-with-reason exiting 0: an unreadable</w:t>
      </w:r>
      <w:r>
        <w:t xml:space="preserve"> </w:t>
      </w:r>
      <w:r>
        <w:t xml:space="preserve">tracker is not evidence of drift, and refusing on it would be the</w:t>
      </w:r>
      <w:r>
        <w:t xml:space="preserve"> </w:t>
      </w:r>
      <w:r>
        <w:t xml:space="preserve">§11.4.201(1) false positive this gate exists to avoid. CHECK B still runs in</w:t>
      </w:r>
      <w:r>
        <w:t xml:space="preserve"> </w:t>
      </w:r>
      <w:r>
        <w:t xml:space="preserve">that case — sequencing it behind the tracker check was a false-null caught by</w:t>
      </w:r>
      <w:r>
        <w:t xml:space="preserve"> </w:t>
      </w:r>
      <w:r>
        <w:t xml:space="preserve">this gate’s own meta-test (fixture</w:t>
      </w:r>
      <w:r>
        <w:t xml:space="preserve"> </w:t>
      </w:r>
      <w:r>
        <w:rPr>
          <w:rStyle w:val="VerbatimChar"/>
        </w:rPr>
        <w:t xml:space="preserve">bad-6</w:t>
      </w:r>
      <w:r>
        <w:t xml:space="preserve">).</w:t>
      </w:r>
    </w:p>
    <w:bookmarkEnd w:id="16"/>
    <w:bookmarkStart w:id="17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The gate can only see work that</w:t>
      </w:r>
      <w:r>
        <w:t xml:space="preserve"> </w:t>
      </w:r>
      <w:r>
        <w:rPr>
          <w:b/>
          <w:bCs/>
        </w:rPr>
        <w:t xml:space="preserve">declares its id</w:t>
      </w:r>
      <w:r>
        <w:t xml:space="preserve">. Work landing under a</w:t>
      </w:r>
      <w:r>
        <w:t xml:space="preserve"> </w:t>
      </w:r>
      <w:r>
        <w:t xml:space="preserve">message carrying no id at all is invisible to it — that is BOB-136’s second</w:t>
      </w:r>
      <w:r>
        <w:t xml:space="preserve"> </w:t>
      </w:r>
      <w:r>
        <w:t xml:space="preserve">defect verbatim, and</w:t>
      </w:r>
      <w:r>
        <w:t xml:space="preserve"> </w:t>
      </w:r>
      <w:r>
        <w:rPr>
          <w:rStyle w:val="VerbatimChar"/>
        </w:rPr>
        <w:t xml:space="preserve">BOB-146</w:t>
      </w:r>
      <w:r>
        <w:t xml:space="preserve"> </w:t>
      </w:r>
      <w:r>
        <w:t xml:space="preserve">is a live instance: its fix landed under</w:t>
      </w:r>
      <w:r>
        <w:t xml:space="preserve"> </w:t>
      </w:r>
      <w:r>
        <w:rPr>
          <w:rStyle w:val="VerbatimChar"/>
        </w:rPr>
        <w:t xml:space="preserve">fix(fail-open): triage all 36 §11.4.252 hits...</w:t>
      </w:r>
      <w:r>
        <w:t xml:space="preserve">, which names no item. The</w:t>
      </w:r>
      <w:r>
        <w:t xml:space="preserve"> </w:t>
      </w:r>
      <w:r>
        <w:t xml:space="preserve">gate does not claim to prevent all drift.</w:t>
      </w:r>
    </w:p>
    <w:p>
      <w:pPr>
        <w:pStyle w:val="BodyText"/>
      </w:pPr>
      <w:r>
        <w:t xml:space="preserve">It also proves only that a status literal is false — never that an item is</w:t>
      </w:r>
      <w:r>
        <w:t xml:space="preserve"> </w:t>
      </w:r>
      <w:r>
        <w:t xml:space="preserve">finished. Closure evidence remains §11.4.115(F) / §11.4.146(D3) territory,</w:t>
      </w:r>
      <w:r>
        <w:t xml:space="preserve"> </w:t>
      </w:r>
      <w:r>
        <w:t xml:space="preserve">and terminal-side integrity (an evidence path that does not resolve) is</w:t>
      </w:r>
      <w:r>
        <w:t xml:space="preserve"> </w:t>
      </w:r>
      <w:r>
        <w:t xml:space="preserve">already covered by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(HXC-217).</w:t>
      </w:r>
    </w:p>
    <w:bookmarkEnd w:id="17"/>
    <w:bookmarkStart w:id="1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tests/pre_build/test_check_cm_closure_seam_binds.sh</w:t>
      </w:r>
      <w:r>
        <w:t xml:space="preserve"> </w:t>
      </w:r>
      <w:r>
        <w:t xml:space="preserve">— §1.1 paired-mutation</w:t>
      </w:r>
      <w:r>
        <w:t xml:space="preserve"> </w:t>
      </w:r>
      <w:r>
        <w:t xml:space="preserve">meta-test, 29 hermetic checks (golden-bad, golden-good, 5 carrier controls,</w:t>
      </w:r>
      <w:r>
        <w:t xml:space="preserve"> </w:t>
      </w:r>
      <w:r>
        <w:t xml:space="preserve">commit-seam polarity).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scripts/hooks/docs-sync-commit-seam.sh</w:t>
      </w:r>
      <w:r>
        <w:t xml:space="preserve"> </w:t>
      </w:r>
      <w:r>
        <w:t xml:space="preserve">— CHECK 5 wiring.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— passes</w:t>
      </w:r>
      <w:r>
        <w:t xml:space="preserve"> </w:t>
      </w:r>
      <w:r>
        <w:rPr>
          <w:rStyle w:val="VerbatimChar"/>
        </w:rPr>
        <w:t xml:space="preserve">--message "$MSG"</w:t>
      </w:r>
      <w:r>
        <w:t xml:space="preserve"> </w:t>
      </w:r>
      <w:r>
        <w:t xml:space="preserve">at stage 5a.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2026-09-01T16:18:44Z</dcterms:created>
  <dcterms:modified xsi:type="dcterms:W3CDTF">2026-09-01T16:18:44Z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