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est_gitignore_swallow_is_loud.sh"/>
    <w:p>
      <w:pPr>
        <w:pStyle w:val="Heading1"/>
      </w:pPr>
      <w:r>
        <w:t xml:space="preserve">test_gitignore_swallow_is_loud.sh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BOB-212 RED (§11.4.115 / §11.4.224). Proves that authoring a NEW</w:t>
      </w:r>
      <w:r>
        <w:t xml:space="preserve"> </w:t>
      </w:r>
      <w:r>
        <w:t xml:space="preserve">credential-named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file under a first-party source root is silently</w:t>
      </w:r>
      <w:r>
        <w:t xml:space="preserve"> </w:t>
      </w:r>
      <w:r>
        <w:t xml:space="preserve">swallowed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 that</w:t>
      </w:r>
      <w:r>
        <w:t xml:space="preserve"> </w:t>
      </w:r>
      <w:r>
        <w:rPr>
          <w:b/>
          <w:bCs/>
        </w:rPr>
        <w:t xml:space="preserve">no signal</w:t>
      </w:r>
      <w:r>
        <w:t xml:space="preserve"> </w:t>
      </w:r>
      <w:r>
        <w:t xml:space="preserve">distinguishes</w:t>
      </w:r>
      <w:r>
        <w:t xml:space="preserve"> </w:t>
      </w:r>
      <w:r>
        <w:t xml:space="preserve">“the file was</w:t>
      </w:r>
      <w:r>
        <w:t xml:space="preserve"> </w:t>
      </w:r>
      <w:r>
        <w:t xml:space="preserve">swallowed”</w:t>
      </w:r>
      <w:r>
        <w:t xml:space="preserve"> </w:t>
      </w:r>
      <w:r>
        <w:t xml:space="preserve">from</w:t>
      </w:r>
      <w:r>
        <w:t xml:space="preserve"> </w:t>
      </w:r>
      <w:r>
        <w:t xml:space="preserve">“no file was authored”</w:t>
      </w:r>
      <w:r>
        <w:t xml:space="preserve"> </w:t>
      </w:r>
      <w:r>
        <w:t xml:space="preserve">— a §11.4.201(6) FALSE-NULL located in</w:t>
      </w:r>
      <w:r>
        <w:t xml:space="preserve"> </w:t>
      </w:r>
      <w:r>
        <w:t xml:space="preserve">the commit path itself.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. No network, no containers, no credentials.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tests/security/test_gitignore_swallow_is_loud.sh          </w:t>
      </w:r>
      <w:r>
        <w:rPr>
          <w:rStyle w:val="CommentTok"/>
        </w:rPr>
        <w:t xml:space="preserve"># guard mode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tests/security/test_gitignore_swallow_is_loud.sh  </w:t>
      </w:r>
      <w:r>
        <w:rPr>
          <w:rStyle w:val="CommentTok"/>
        </w:rPr>
        <w:t xml:space="preserve"># reproduction mode</w:t>
      </w:r>
      <w:r>
        <w:br/>
      </w:r>
      <w:r>
        <w:rPr>
          <w:rStyle w:val="VariableTok"/>
        </w:rPr>
        <w:t xml:space="preserve">SWALLOW_GUARD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/path/to/guard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tests/security/...            </w:t>
      </w:r>
      <w:r>
        <w:rPr>
          <w:rStyle w:val="CommentTok"/>
        </w:rPr>
        <w:t xml:space="preserve"># point at a candidate fix</w:t>
      </w:r>
    </w:p>
    <w:bookmarkEnd w:id="11"/>
    <w:bookmarkStart w:id="12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guard mode: the swallow is LOUD (fixed).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: defect reproduced.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guard mode: the swallow is SILENT — defect present.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: not reproducible.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INSTRUMENT BROKEN or SECRET LEAK. Verdict void.</w:t>
            </w:r>
          </w:p>
        </w:tc>
      </w:tr>
    </w:tbl>
    <w:p>
      <w:pPr>
        <w:pStyle w:val="BodyText"/>
      </w:pPr>
      <w:r>
        <w:t xml:space="preserve">Exit 2 is deliberately distinct from exit 1 so a blind harness can never be read</w:t>
      </w:r>
      <w:r>
        <w:t xml:space="preserve"> </w:t>
      </w:r>
      <w:r>
        <w:t xml:space="preserve">as</w:t>
      </w:r>
      <w:r>
        <w:t xml:space="preserve"> </w:t>
      </w:r>
      <w:r>
        <w:t xml:space="preserve">“defect present”</w:t>
      </w:r>
      <w:r>
        <w:t xml:space="preserve"> </w:t>
      </w:r>
      <w:r>
        <w:t xml:space="preserve">(§11.4.1 — a FAIL for a script-internal reason is a FAIL-bluff).</w:t>
      </w:r>
    </w:p>
    <w:bookmarkEnd w:id="12"/>
    <w:bookmarkStart w:id="13" w:name="what-it-asserts"/>
    <w:p>
      <w:pPr>
        <w:pStyle w:val="Heading2"/>
      </w:pPr>
      <w:r>
        <w:t xml:space="preserve">What it asserts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</w:t>
      </w:r>
      <w:r>
        <w:t xml:space="preserve"> </w:t>
      </w:r>
      <w:r>
        <w:t xml:space="preserve">(§11.4.201(7)(b)) — a non-credential-named sibling in the</w:t>
      </w:r>
      <w:r>
        <w:t xml:space="preserve"> </w:t>
      </w:r>
      <w:r>
        <w:t xml:space="preserve">same directory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visible 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 If it is not, the harness is</w:t>
      </w:r>
      <w:r>
        <w:t xml:space="preserve"> </w:t>
      </w:r>
      <w:r>
        <w:t xml:space="preserve">blind and every zero below is void.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 disjunction</w:t>
      </w:r>
      <w:r>
        <w:t xml:space="preserve"> </w:t>
      </w:r>
      <w:r>
        <w:t xml:space="preserve">(BOB-212) — the subject file either commits</w:t>
      </w:r>
      <w:r>
        <w:t xml:space="preserve"> </w:t>
      </w:r>
      <w:r>
        <w:t xml:space="preserve">normally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swallow-guard refuses loudly, naming the file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.gitignore:&lt;line&gt;</w:t>
      </w:r>
      <w:r>
        <w:t xml:space="preserve"> </w:t>
      </w:r>
      <w:r>
        <w:t xml:space="preserve">rule. Today neither 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silence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is captured in two scratch worlds,</w:t>
      </w:r>
      <w:r>
        <w:t xml:space="preserve"> </w:t>
      </w:r>
      <w:r>
        <w:t xml:space="preserve">one where the file was authored and one where it never existed. Today the two</w:t>
      </w:r>
      <w:r>
        <w:t xml:space="preserve"> </w:t>
      </w:r>
      <w:r>
        <w:t xml:space="preserve">outputs are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. That identity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false-null.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Golden-FALSE</w:t>
      </w:r>
      <w:r>
        <w:t xml:space="preserve"> </w:t>
      </w:r>
      <w:r>
        <w:t xml:space="preserve">(§11.4.201(1) / §11.4.10) — 15 secret-bearing shapes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*.jks</w:t>
      </w:r>
      <w:r>
        <w:t xml:space="preserve">,</w:t>
      </w:r>
      <w:r>
        <w:t xml:space="preserve"> </w:t>
      </w:r>
      <w:r>
        <w:rPr>
          <w:rStyle w:val="VerbatimChar"/>
        </w:rPr>
        <w:t xml:space="preserve">*_creds.json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*credentials*.yaml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cookies_*.txt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RUTRACKER_*</w:t>
      </w:r>
      <w:r>
        <w:t xml:space="preserve">, extensionless</w:t>
      </w:r>
      <w:r>
        <w:t xml:space="preserve"> </w:t>
      </w:r>
      <w:r>
        <w:rPr>
          <w:rStyle w:val="VerbatimChar"/>
        </w:rPr>
        <w:t xml:space="preserve">service_credentials</w:t>
      </w:r>
      <w:r>
        <w:t xml:space="preserve">, …) must</w:t>
      </w:r>
      <w:r>
        <w:t xml:space="preserve"> </w:t>
      </w:r>
      <w:r>
        <w:t xml:space="preserve">remain ignored. Without this, a</w:t>
      </w:r>
      <w:r>
        <w:t xml:space="preserve"> </w:t>
      </w:r>
      <w:r>
        <w:t xml:space="preserve">“fix”</w:t>
      </w:r>
      <w:r>
        <w:t xml:space="preserve"> </w:t>
      </w:r>
      <w:r>
        <w:t xml:space="preserve">that simply deletes the glob looks green.</w:t>
      </w:r>
    </w:p>
    <w:bookmarkEnd w:id="13"/>
    <w:bookmarkStart w:id="14" w:name="why-it-is-fix-direction-agnostic"/>
    <w:p>
      <w:pPr>
        <w:pStyle w:val="Heading2"/>
      </w:pPr>
      <w:r>
        <w:t xml:space="preserve">Why it is fix-direction-agnostic</w:t>
      </w:r>
    </w:p>
    <w:p>
      <w:pPr>
        <w:pStyle w:val="FirstParagraph"/>
      </w:pPr>
      <w:r>
        <w:t xml:space="preserve">The direction is an operator decision (§11.4.66), so the test asserts the</w:t>
      </w:r>
      <w:r>
        <w:t xml:space="preserve"> </w:t>
      </w:r>
      <w:r>
        <w:rPr>
          <w:i/>
          <w:iCs/>
        </w:rPr>
        <w:t xml:space="preserve">disjunction</w:t>
      </w:r>
      <w:r>
        <w:t xml:space="preserve"> </w:t>
      </w:r>
      <w:r>
        <w:t xml:space="preserve">rather than a mechanism. Verified both ways (see</w:t>
      </w:r>
      <w:r>
        <w:t xml:space="preserve"> </w:t>
      </w:r>
      <w:r>
        <w:rPr>
          <w:rStyle w:val="VerbatimChar"/>
        </w:rPr>
        <w:t xml:space="preserve">docs/qa/BOB-212/red_run_polarity_flip.log</w:t>
      </w:r>
      <w:r>
        <w:t xml:space="preserve">): it flips GREEN under a narrowed</w:t>
      </w:r>
      <w:r>
        <w:t xml:space="preserve"> </w:t>
      </w:r>
      <w:r>
        <w:t xml:space="preserve">glob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under a swallow-guard stand-in.</w:t>
      </w:r>
    </w:p>
    <w:bookmarkEnd w:id="14"/>
    <w:bookmarkStart w:id="15" w:name="anti-bluff-provenance"/>
    <w:p>
      <w:pPr>
        <w:pStyle w:val="Heading2"/>
      </w:pPr>
      <w:r>
        <w:t xml:space="preserve">Anti-bluff provenance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mode, today</w:t>
            </w:r>
          </w:p>
        </w:tc>
        <w:tc>
          <w:tcPr/>
          <w:p>
            <w:pPr>
              <w:pStyle w:val="Compact"/>
            </w:pPr>
            <w:r>
              <w:t xml:space="preserve">exit 1 — RED, false-null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RED_MODE=1</w:t>
            </w:r>
            <w:r>
              <w:t xml:space="preserve">, today</w:t>
            </w:r>
          </w:p>
        </w:tc>
        <w:tc>
          <w:tcPr/>
          <w:p>
            <w:pPr>
              <w:pStyle w:val="Compact"/>
            </w:pPr>
            <w:r>
              <w:t xml:space="preserve">exit 0 — reproduction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guard stand-in (direction b)</w:t>
            </w:r>
          </w:p>
        </w:tc>
        <w:tc>
          <w:tcPr/>
          <w:p>
            <w:pPr>
              <w:pStyle w:val="Compact"/>
            </w:pPr>
            <w:r>
              <w:t xml:space="preserve">exit 0 — flips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narrowed glob (direction a)</w:t>
            </w:r>
          </w:p>
        </w:tc>
        <w:tc>
          <w:tcPr/>
          <w:p>
            <w:pPr>
              <w:pStyle w:val="Compact"/>
            </w:pPr>
            <w:r>
              <w:t xml:space="preserve">exit 0 — flips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 mutation: delete the globs (naive fix)</w:t>
            </w:r>
          </w:p>
        </w:tc>
        <w:tc>
          <w:tcPr/>
          <w:p>
            <w:pPr>
              <w:pStyle w:val="Compact"/>
            </w:pPr>
            <w:r>
              <w:t xml:space="preserve">exit 2 — 11 leaks caught</w:t>
            </w:r>
          </w:p>
        </w:tc>
      </w:tr>
    </w:tbl>
    <w:p>
      <w:pPr>
        <w:pStyle w:val="BodyText"/>
      </w:pPr>
      <w:r>
        <w:t xml:space="preserve">The last row is what proves the golden-FALSE is load-bearing rather than decorative.</w:t>
      </w:r>
    </w:p>
    <w:bookmarkEnd w:id="15"/>
    <w:bookmarkStart w:id="16" w:name="side-effects"/>
    <w:p>
      <w:pPr>
        <w:pStyle w:val="Heading2"/>
      </w:pPr>
      <w:r>
        <w:t xml:space="preserve">Side effects</w:t>
      </w:r>
    </w:p>
    <w:p>
      <w:pPr>
        <w:pStyle w:val="FirstParagraph"/>
      </w:pPr>
      <w:r>
        <w:t xml:space="preserve">Creates and removes one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scratch tree. It copies the repository’s own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into that tree, so it tests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rules (§11.4.27, no mock).</w:t>
      </w:r>
      <w:r>
        <w:t xml:space="preserve"> </w:t>
      </w:r>
      <w:r>
        <w:t xml:space="preserve">It never writes to, stages, adds, or modifies anything in the repository.</w:t>
      </w:r>
    </w:p>
    <w:bookmarkEnd w:id="16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docs/qa/BOB-212/blast_radius_1a_tracked_ignored.txt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docs/qa/BOB-212/blast_radius_1b_untracked_swallowed.txt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docs/qa/BOB-212/rule_evaluation.txt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docs/qa/BOB-212/red_run.log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red_run_polarity_flip.log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2026-08-26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2026-09-01T16:19:08Z</dcterms:created>
  <dcterms:modified xsi:type="dcterms:W3CDTF">2026-09-01T16:19:08Z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