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b8380d214a62b778abc4ffbab82d8bc786cf66"/>
    <w:p>
      <w:pPr>
        <w:pStyle w:val="Heading1"/>
      </w:pP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— unattributed-commit detector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2026-08-21T19:55:00Z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§11.4.84 / §11.4.238 guard that finds commits landing on this</w:t>
      </w:r>
      <w:r>
        <w:t xml:space="preserve"> </w:t>
      </w:r>
      <w:r>
        <w:t xml:space="preserve">repository with no attribution — no tracked-item id, no task, no PR reference.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2026-08-21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commit whose entire subject is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sync: …</w:t>
      </w:r>
      <w:r>
        <w:t xml:space="preserve">) and whose body</w:t>
      </w:r>
      <w:r>
        <w:t xml:space="preserve"> </w:t>
      </w:r>
      <w:r>
        <w:t xml:space="preserve">carries no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/ task / PR reference cannot be traced to the work that</w:t>
      </w:r>
      <w:r>
        <w:t xml:space="preserve"> </w:t>
      </w:r>
      <w:r>
        <w:t xml:space="preserve">motivated it. That is a §11.4.238 discovery problem rather than a style</w:t>
      </w:r>
      <w:r>
        <w:t xml:space="preserve"> </w:t>
      </w:r>
      <w:r>
        <w:t xml:space="preserve">complaint: when such a commit later turns out to have introduced a defect, there</w:t>
      </w:r>
      <w:r>
        <w:t xml:space="preserve"> </w:t>
      </w:r>
      <w:r>
        <w:t xml:space="preserve">is no item to reopen (§11.4.214) and no review to point at (§11.4.142).</w:t>
      </w:r>
    </w:p>
    <w:p>
      <w:pPr>
        <w:pStyle w:val="BodyText"/>
      </w:pPr>
      <w:r>
        <w:t xml:space="preserve">This guard makes that population</w:t>
      </w:r>
      <w:r>
        <w:t xml:space="preserve"> </w:t>
      </w:r>
      <w:r>
        <w:rPr>
          <w:b/>
          <w:bCs/>
        </w:rPr>
        <w:t xml:space="preserve">mechanically visible</w:t>
      </w:r>
      <w:r>
        <w:t xml:space="preserve"> </w:t>
      </w:r>
      <w:r>
        <w:t xml:space="preserve">instead of something a</w:t>
      </w:r>
      <w:r>
        <w:t xml:space="preserve"> </w:t>
      </w:r>
      <w:r>
        <w:t xml:space="preserve">human notices while reading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.</w:t>
      </w:r>
    </w:p>
    <w:p>
      <w:pPr>
        <w:pStyle w:val="BodyText"/>
      </w:pPr>
      <w:r>
        <w:t xml:space="preserve">MEASURED on this repository, 2026-08-21: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subjects exist</w:t>
      </w:r>
      <w:r>
        <w:t xml:space="preserve"> </w:t>
      </w:r>
      <w:r>
        <w:t xml:space="preserve">across all refs, and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commits violate the rule in the default 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v1.0.0-rc..HEAD</w:t>
      </w:r>
      <w:r>
        <w:t xml:space="preserve">) — 11 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plus 2</w:t>
      </w:r>
      <w:r>
        <w:t xml:space="preserve"> </w:t>
      </w:r>
      <w:r>
        <w:rPr>
          <w:rStyle w:val="VerbatimChar"/>
        </w:rPr>
        <w:t xml:space="preserve">sync: …</w:t>
      </w:r>
      <w:r>
        <w:t xml:space="preserve">, the latter class</w:t>
      </w:r>
      <w:r>
        <w:t xml:space="preserve"> </w:t>
      </w:r>
      <w:r>
        <w:t xml:space="preserve">missed entirely by the narrower grep that preceded this guard.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 git working tree (the guard reads history only; it never writes).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on PATH. No network, no container runtime, no credentials.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bash scripts/hooks/unattributed-commit-guard.sh                # default range</w:t>
      </w:r>
      <w:r>
        <w:br/>
      </w:r>
      <w:r>
        <w:rPr>
          <w:rStyle w:val="VerbatimChar"/>
        </w:rPr>
        <w:t xml:space="preserve">bash scripts/hooks/unattributed-commit-guard.sh --range A..B   # explicit range</w:t>
      </w:r>
      <w:r>
        <w:br/>
      </w:r>
      <w:r>
        <w:rPr>
          <w:rStyle w:val="VerbatimChar"/>
        </w:rPr>
        <w:t xml:space="preserve">bash scripts/hooks/unattributed-commit-guard.sh --self-test    # §11.4.107(10)</w:t>
      </w:r>
    </w:p>
    <w:p>
      <w:pPr>
        <w:pStyle w:val="FirstParagraph"/>
      </w:pPr>
      <w:r>
        <w:t xml:space="preserve">Default range is</w:t>
      </w:r>
      <w:r>
        <w:t xml:space="preserve"> </w:t>
      </w:r>
      <w:r>
        <w:t xml:space="preserve">“since the last tag reachable from HEAD”</w:t>
      </w:r>
      <w:r>
        <w:t xml:space="preserve">.</w:t>
      </w:r>
    </w:p>
    <w:p>
      <w:pPr>
        <w:pStyle w:val="BodyText"/>
      </w:pPr>
      <w:r>
        <w:t xml:space="preserve">Exit status: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clean, non-zero when violations are found (each named).</w:t>
      </w:r>
    </w:p>
    <w:bookmarkEnd w:id="11"/>
    <w:bookmarkStart w:id="12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referenced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Auto-commit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violation.</w:t>
      </w:r>
      <w:r>
        <w:t xml:space="preserve"> </w:t>
      </w:r>
      <w:r>
        <w:t xml:space="preserve">A commit may keep the bare</w:t>
      </w:r>
      <w:r>
        <w:t xml:space="preserve"> </w:t>
      </w:r>
      <w:r>
        <w:t xml:space="preserve">subject provided its body cites an item; the guard’s false-positive control</w:t>
      </w:r>
      <w:r>
        <w:t xml:space="preserve"> </w:t>
      </w:r>
      <w:r>
        <w:t xml:space="preserve">needle covers exactly this case, so a legitimately-attributed commit is never</w:t>
      </w:r>
      <w:r>
        <w:t xml:space="preserve"> </w:t>
      </w:r>
      <w:r>
        <w:t xml:space="preserve">flagged (§11.4.201(1) — a false refusal is as forbidden as a false pass).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Merge commits</w:t>
      </w:r>
      <w:r>
        <w:t xml:space="preserve"> </w:t>
      </w:r>
      <w:r>
        <w:t xml:space="preserve">inherit their subject from git and are not authored prose.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empty range</w:t>
      </w:r>
      <w:r>
        <w:t xml:space="preserve"> </w:t>
      </w:r>
      <w:r>
        <w:t xml:space="preserve">(no commits since the last tag) is a clean</w:t>
      </w:r>
      <w:r>
        <w:t xml:space="preserve"> </w:t>
      </w:r>
      <w:r>
        <w:rPr>
          <w:rStyle w:val="VerbatimChar"/>
        </w:rPr>
        <w:t xml:space="preserve">0</w:t>
      </w:r>
      <w:r>
        <w:t xml:space="preserve">, not an error.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The subject pattern set is CLOSED and explicit rather than heuristic: matching</w:t>
      </w:r>
      <w:r>
        <w:t xml:space="preserve"> </w:t>
      </w:r>
      <w:r>
        <w:t xml:space="preserve">“anything that looks low-effort”</w:t>
      </w:r>
      <w:r>
        <w:t xml:space="preserve"> </w:t>
      </w:r>
      <w:r>
        <w:t xml:space="preserve">would produce exactly the false refusals</w:t>
      </w:r>
      <w:r>
        <w:t xml:space="preserve"> </w:t>
      </w:r>
      <w:r>
        <w:t xml:space="preserve">§11.4.201(1) forbids. A commit is a violation only when its subject matches the</w:t>
      </w:r>
      <w:r>
        <w:t xml:space="preserve"> </w:t>
      </w:r>
      <w:r>
        <w:t xml:space="preserve">closed set AND the FULL message carries no reference.</w:t>
      </w:r>
    </w:p>
    <w:p>
      <w:pPr>
        <w:pStyle w:val="BodyText"/>
      </w:pPr>
      <w:r>
        <w:rPr>
          <w:rStyle w:val="VerbatimChar"/>
        </w:rPr>
        <w:t xml:space="preserve">--self-test</w:t>
      </w:r>
      <w:r>
        <w:t xml:space="preserve"> </w:t>
      </w:r>
      <w:r>
        <w:t xml:space="preserve">ships golden-good, golden-bad, and the false-positive control</w:t>
      </w:r>
      <w:r>
        <w:t xml:space="preserve"> </w:t>
      </w:r>
      <w:r>
        <w:t xml:space="preserve">needle, and is the §11.4.107(10) self-validation: a guard never observed FAILing</w:t>
      </w:r>
      <w:r>
        <w:t xml:space="preserve"> </w:t>
      </w:r>
      <w:r>
        <w:t xml:space="preserve">on a genuinely-broken input is unvalidated instrumentation (§11.4.115(F)).</w:t>
      </w:r>
    </w:p>
    <w:p>
      <w:pPr>
        <w:pStyle w:val="BodyText"/>
      </w:pPr>
      <w:r>
        <w:rPr>
          <w:b/>
          <w:bCs/>
        </w:rPr>
        <w:t xml:space="preserve">Paired §1.1 mutation (verified):</w:t>
      </w:r>
      <w:r>
        <w:t xml:space="preserve"> </w:t>
      </w:r>
      <w:r>
        <w:t xml:space="preserve">neutering the pattern match makes the</w:t>
      </w:r>
      <w:r>
        <w:t xml:space="preserve"> </w:t>
      </w:r>
      <w:r>
        <w:t xml:space="preserve">self-test FAIL and makes the real scan silently report OK against 21 known</w:t>
      </w:r>
      <w:r>
        <w:t xml:space="preserve"> </w:t>
      </w:r>
      <w:r>
        <w:t xml:space="preserve">violations — the exact bluff. Restored, the file is sha256-identical and the</w:t>
      </w:r>
      <w:r>
        <w:t xml:space="preserve"> </w:t>
      </w:r>
      <w:r>
        <w:t xml:space="preserve">scan again names the 14.</w:t>
      </w:r>
    </w:p>
    <w:bookmarkEnd w:id="13"/>
    <w:bookmarkStart w:id="14" w:name="X0dc4099f626ab122db8cc719916cc291c3fb4f4"/>
    <w:p>
      <w:pPr>
        <w:pStyle w:val="Heading2"/>
      </w:pPr>
      <w:r>
        <w:t xml:space="preserve">Known gap — read this before trusting a green run</w:t>
      </w:r>
    </w:p>
    <w:p>
      <w:pPr>
        <w:pStyle w:val="FirstParagraph"/>
      </w:pPr>
      <w:r>
        <w:rPr>
          <w:b/>
          <w:bCs/>
        </w:rPr>
        <w:t xml:space="preserve">This guard is not yet wired into any seam.</w:t>
      </w:r>
      <w:r>
        <w:t xml:space="preserve"> </w:t>
      </w:r>
      <w:r>
        <w:t xml:space="preserve">It runs when a human types it, so</w:t>
      </w:r>
      <w:r>
        <w:t xml:space="preserve"> </w:t>
      </w:r>
      <w:r>
        <w:t xml:space="preserve">it is not standing detection pressure (§11.4.226 — registration is not</w:t>
      </w:r>
      <w:r>
        <w:t xml:space="preserve"> </w:t>
      </w:r>
      <w:r>
        <w:t xml:space="preserve">coverage). Wiring it as-is would refuse every commit immediately, because the 14</w:t>
      </w:r>
      <w:r>
        <w:t xml:space="preserve"> </w:t>
      </w:r>
      <w:r>
        <w:t xml:space="preserve">pre-existing violations are real and cannot be fixed in the moment; that is a</w:t>
      </w:r>
      <w:r>
        <w:t xml:space="preserve"> </w:t>
      </w:r>
      <w:r>
        <w:t xml:space="preserve">§11.4.224(E) brownfield-adoption decision the operator owns, tracked as</w:t>
      </w:r>
      <w:r>
        <w:t xml:space="preserve"> </w:t>
      </w:r>
      <w:r>
        <w:rPr>
          <w:b/>
          <w:bCs/>
        </w:rPr>
        <w:t xml:space="preserve">BOB-162</w:t>
      </w:r>
      <w:r>
        <w:t xml:space="preserve"> </w:t>
      </w:r>
      <w:r>
        <w:t xml:space="preserve">with the options enumerated. Until that answer is recorded, a clean</w:t>
      </w:r>
      <w:r>
        <w:t xml:space="preserve"> </w:t>
      </w:r>
      <w:r>
        <w:t xml:space="preserve">run of this guard means only</w:t>
      </w:r>
      <w:r>
        <w:t xml:space="preserve"> </w:t>
      </w:r>
      <w:r>
        <w:t xml:space="preserve">“the range you asked about is clean”</w:t>
      </w:r>
      <w:r>
        <w:t xml:space="preserve">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tests/hooks/test_unattributed_commit_guard.sh</w:t>
      </w:r>
      <w:r>
        <w:t xml:space="preserve"> </w:t>
      </w:r>
      <w:r>
        <w:t xml:space="preserve">— 9 real-invocation assertions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docs/history/BOB-079-attributed-auto-commit-history.md</w:t>
      </w:r>
      <w:r>
        <w:t xml:space="preserve"> </w:t>
      </w:r>
      <w:r>
        <w:t xml:space="preserve">— the attribution record</w:t>
      </w:r>
      <w:r>
        <w:t xml:space="preserve"> </w:t>
      </w:r>
      <w:r>
        <w:t xml:space="preserve">built FROM this guard’s output (BOB-079)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scripts/hooks/check-brief-inputs.sh</w:t>
      </w:r>
      <w:r>
        <w:t xml:space="preserve"> </w:t>
      </w:r>
      <w:r>
        <w:t xml:space="preserve">— sibling dispatch-hygiene guard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2026-09-01T16:18:53Z</dcterms:created>
  <dcterms:modified xsi:type="dcterms:W3CDTF">2026-09-01T16:18:53Z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