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34bc18f1508ea135035e347f447e16de5f1be4"/>
    <w:p>
      <w:pPr>
        <w:pStyle w:val="Heading1"/>
      </w:pPr>
      <w:r>
        <w:rPr>
          <w:rStyle w:val="VerbatimChar"/>
        </w:rPr>
        <w:t xml:space="preserve">scripts/testing/update_readme_doc_links.sh</w:t>
      </w:r>
      <w:r>
        <w:t xml:space="preserve"> </w:t>
      </w:r>
      <w:r>
        <w:t xml:space="preserve">— README Tracked-Items table regenerator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2026-08-21T19:45:00Z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§11.4.57 machine-derived regenerator for README.md’s</w:t>
      </w:r>
      <w:r>
        <w:t xml:space="preserve"> </w:t>
      </w:r>
      <w:r>
        <w:rPr>
          <w:rStyle w:val="VerbatimChar"/>
        </w:rPr>
        <w:t xml:space="preserve">### Tracked-Items + Status Documents</w:t>
      </w:r>
      <w:r>
        <w:t xml:space="preserve"> </w:t>
      </w:r>
      <w:r>
        <w:t xml:space="preserve">table.</w:t>
      </w:r>
      <w:r>
        <w:t xml:space="preserve"> </w:t>
      </w:r>
      <w:r>
        <w:rPr>
          <w:b/>
          <w:bCs/>
        </w:rPr>
        <w:t xml:space="preserve">Last verified:</w:t>
      </w:r>
      <w:r>
        <w:t xml:space="preserve"> </w:t>
      </w:r>
      <w:r>
        <w:t xml:space="preserve">2026-08-21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### Tracked-Items + Status Documents</w:t>
      </w:r>
      <w:r>
        <w:t xml:space="preserve"> </w:t>
      </w:r>
      <w:r>
        <w:t xml:space="preserve">table (bounded by</w:t>
      </w:r>
      <w:r>
        <w:t xml:space="preserve"> </w:t>
      </w:r>
      <w:r>
        <w:rPr>
          <w:rStyle w:val="VerbatimChar"/>
        </w:rPr>
        <w:t xml:space="preserve">&lt;!-- doc-link-section:begin --&gt;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&lt;!-- doc-link-section:end --&gt;</w:t>
      </w:r>
      <w:r>
        <w:t xml:space="preserve"> </w:t>
      </w:r>
      <w:r>
        <w:t xml:space="preserve">markers)</w:t>
      </w:r>
      <w:r>
        <w:t xml:space="preserve"> </w:t>
      </w:r>
      <w:r>
        <w:t xml:space="preserve">that is the mandated entry point (§11.4.57 / §11.4.212) for every tracker and</w:t>
      </w:r>
      <w:r>
        <w:t xml:space="preserve"> </w:t>
      </w:r>
      <w:r>
        <w:t xml:space="preserve">status document in this repository. Each row’s</w:t>
      </w:r>
      <w:r>
        <w:t xml:space="preserve"> </w:t>
      </w:r>
      <w:r>
        <w:rPr>
          <w:rStyle w:val="VerbatimChar"/>
        </w:rPr>
        <w:t xml:space="preserve">Last modified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cells are supposed to be sourced verbatim from the document’s own §11.4.44</w:t>
      </w:r>
      <w:r>
        <w:t xml:space="preserve"> </w:t>
      </w:r>
      <w:r>
        <w:t xml:space="preserve">revision header, and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cells are supposed to reflect whether</w:t>
      </w:r>
      <w:r>
        <w:t xml:space="preserve"> </w:t>
      </w:r>
      <w:r>
        <w:t xml:space="preserve">those exports actually exist on disk.</w:t>
      </w:r>
    </w:p>
    <w:p>
      <w:pPr>
        <w:pStyle w:val="BodyText"/>
      </w:pPr>
      <w:r>
        <w:t xml:space="preserve">Before this script existed, that table was hand-maintained, and it had</w:t>
      </w:r>
      <w:r>
        <w:t xml:space="preserve"> </w:t>
      </w:r>
      <w:r>
        <w:t xml:space="preserve">drifted: measured 2026-08-21 (BOB-088), 10 of its 18 rows carried a stale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/</w:t>
      </w:r>
      <w:r>
        <w:rPr>
          <w:rStyle w:val="VerbatimChar"/>
        </w:rPr>
        <w:t xml:space="preserve">Last modified</w:t>
      </w:r>
      <w:r>
        <w:t xml:space="preserve"> </w:t>
      </w:r>
      <w:r>
        <w:t xml:space="preserve">pair (e.g. 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carried</w:t>
      </w:r>
      <w:r>
        <w:t xml:space="preserve"> </w:t>
      </w:r>
      <w:r>
        <w:rPr>
          <w:rStyle w:val="VerbatimChar"/>
        </w:rPr>
        <w:t xml:space="preserve">**Revision:** 38</w:t>
      </w:r>
      <w:r>
        <w:t xml:space="preserve"> </w:t>
      </w:r>
      <w:r>
        <w:t xml:space="preserve">while the table still read</w:t>
      </w:r>
      <w:r>
        <w:t xml:space="preserve"> </w:t>
      </w:r>
      <w:r>
        <w:rPr>
          <w:rStyle w:val="VerbatimChar"/>
        </w:rPr>
        <w:t xml:space="preserve">10</w:t>
      </w:r>
      <w:r>
        <w:t xml:space="preserve">), two rows read</w:t>
      </w:r>
      <w:r>
        <w:t xml:space="preserve"> </w:t>
      </w:r>
      <w:r>
        <w:rPr>
          <w:rStyle w:val="VerbatimChar"/>
        </w:rPr>
        <w:t xml:space="preserve">— (not yet exported)</w:t>
      </w:r>
      <w:r>
        <w:t xml:space="preserve"> </w:t>
      </w:r>
      <w:r>
        <w:t xml:space="preserve">for HTML/PDF cells that had real exports on disk, and one MANDATED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docs/GOVERNANCE_AUDIT_2026-08-08_ROUND2.md</w:t>
      </w:r>
      <w:r>
        <w:t xml:space="preserve">, cited by name in BOB-088’s own</w:t>
      </w:r>
      <w:r>
        <w:t xml:space="preserve"> </w:t>
      </w:r>
      <w:r>
        <w:t xml:space="preserve">body text) had no row at all.</w:t>
      </w:r>
    </w:p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scripts/testing/update_readme_doc_links.sh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rewrite README.md in place</w:t>
      </w:r>
      <w:r>
        <w:br/>
      </w:r>
      <w:r>
        <w:rPr>
          <w:rStyle w:val="ExtensionTok"/>
        </w:rPr>
        <w:t xml:space="preserve">scripts/testing/update_readme_doc_links.sh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read-only; exit 0 = in sync, exit 2 = stale</w:t>
      </w:r>
      <w:r>
        <w:br/>
      </w:r>
      <w:r>
        <w:rPr>
          <w:rStyle w:val="ExtensionTok"/>
        </w:rPr>
        <w:t xml:space="preserve">scripts/testing/update_readme_doc_links.sh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--readme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 target (tests)</w:t>
      </w:r>
    </w:p>
    <w:p>
      <w:pPr>
        <w:pStyle w:val="FirstParagraph"/>
      </w:pPr>
      <w:r>
        <w:t xml:space="preserve">Default mode rewrites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 place.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mode is read-only and</w:t>
      </w:r>
      <w:r>
        <w:t xml:space="preserve"> </w:t>
      </w:r>
      <w:r>
        <w:t xml:space="preserve">prints a unified diff of the stale rows before exiting 2 — safe to wire into</w:t>
      </w:r>
      <w:r>
        <w:t xml:space="preserve"> </w:t>
      </w:r>
      <w:r>
        <w:t xml:space="preserve">a pre-commit or pre-build sweep.</w:t>
      </w:r>
    </w:p>
    <w:p>
      <w:pPr>
        <w:pStyle w:val="BodyText"/>
      </w:pPr>
      <w:r>
        <w:rPr>
          <w:b/>
          <w:bCs/>
        </w:rPr>
        <w:t xml:space="preserve">This script does not regenerate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README.html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.pdf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afterward (§11.4.65/§11.4.12) so the</w:t>
      </w:r>
      <w:r>
        <w:t xml:space="preserve"> </w:t>
      </w:r>
      <w:r>
        <w:t xml:space="preserve">exports stay in sync with the source it just edited.</w:t>
      </w:r>
    </w:p>
    <w:bookmarkEnd w:id="10"/>
    <w:bookmarkStart w:id="11" w:name="scope-deliberately-narrow"/>
    <w:p>
      <w:pPr>
        <w:pStyle w:val="Heading2"/>
      </w:pPr>
      <w:r>
        <w:t xml:space="preserve">Scope (deliberately narrow)</w:t>
      </w:r>
    </w:p>
    <w:p>
      <w:pPr>
        <w:pStyle w:val="FirstParagraph"/>
      </w:pPr>
      <w:r>
        <w:t xml:space="preserve">This generator owns only the closed-set</w:t>
      </w:r>
      <w:r>
        <w:t xml:space="preserve"> </w:t>
      </w:r>
      <w:r>
        <w:t xml:space="preserve">“Tracked-Items”</w:t>
      </w:r>
      <w:r>
        <w:t xml:space="preserve"> </w:t>
      </w:r>
      <w:r>
        <w:t xml:space="preserve">row class §11.4.57</w:t>
      </w:r>
      <w:r>
        <w:t xml:space="preserve"> </w:t>
      </w:r>
      <w:r>
        <w:t xml:space="preserve">names: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/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+ their</w:t>
      </w:r>
      <w:r>
        <w:t xml:space="preserve"> </w:t>
      </w:r>
      <w:r>
        <w:rPr>
          <w:rStyle w:val="VerbatimChar"/>
        </w:rPr>
        <w:t xml:space="preserve">_Summary</w:t>
      </w:r>
      <w:r>
        <w:t xml:space="preserve"> </w:t>
      </w:r>
      <w:r>
        <w:t xml:space="preserve">companions,</w:t>
      </w:r>
      <w:r>
        <w:t xml:space="preserve"> </w:t>
      </w:r>
      <w:r>
        <w:rPr>
          <w:rStyle w:val="VerbatimChar"/>
        </w:rPr>
        <w:t xml:space="preserve">CONTINUATION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PORTING-FROM-LAVA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REMAINING_WORK_PLAN</w:t>
      </w:r>
      <w:r>
        <w:t xml:space="preserve">, every</w:t>
      </w:r>
      <w:r>
        <w:t xml:space="preserve"> </w:t>
      </w:r>
      <w:r>
        <w:rPr>
          <w:rStyle w:val="VerbatimChar"/>
        </w:rPr>
        <w:t xml:space="preserve">docs/GOVERNANCE_AUDIT_*.md</w:t>
      </w:r>
      <w:r>
        <w:t xml:space="preserve"> </w:t>
      </w:r>
      <w:r>
        <w:t xml:space="preserve">(auto-discovered via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, so a third</w:t>
      </w:r>
      <w:r>
        <w:t xml:space="preserve"> </w:t>
      </w:r>
      <w:r>
        <w:t xml:space="preserve">round audit doc is picked up automatically),</w:t>
      </w:r>
      <w:r>
        <w:t xml:space="preserve"> </w:t>
      </w:r>
      <w:r>
        <w:rPr>
          <w:rStyle w:val="VerbatimChar"/>
        </w:rPr>
        <w:t xml:space="preserve">COMPLETION_STATUS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RELEASE_READINESS_20260616</w:t>
      </w:r>
      <w:r>
        <w:t xml:space="preserve">,</w:t>
      </w:r>
      <w:r>
        <w:t xml:space="preserve"> </w:t>
      </w:r>
      <w:r>
        <w:rPr>
          <w:rStyle w:val="VerbatimChar"/>
        </w:rPr>
        <w:t xml:space="preserve">QA_DISCOVERY_LEDGER</w:t>
      </w:r>
      <w:r>
        <w:t xml:space="preserve">, and every</w:t>
      </w:r>
      <w:r>
        <w:t xml:space="preserve"> </w:t>
      </w:r>
      <w:r>
        <w:rPr>
          <w:rStyle w:val="VerbatimChar"/>
        </w:rPr>
        <w:t xml:space="preserve">docs/**/Status.md</w:t>
      </w:r>
      <w:r>
        <w:t xml:space="preserve"> </w:t>
      </w:r>
      <w:r>
        <w:t xml:space="preserve">+ its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RELEASE_READINESS.md</w:t>
      </w:r>
      <w:r>
        <w:t xml:space="preserve"> </w:t>
      </w:r>
      <w:r>
        <w:t xml:space="preserve">sibling, if present) pair, likewise auto-discovered.</w:t>
      </w:r>
    </w:p>
    <w:p>
      <w:pPr>
        <w:pStyle w:val="BodyText"/>
      </w:pPr>
      <w:r>
        <w:t xml:space="preserve">§11.4.212’s broader</w:t>
      </w:r>
      <w:r>
        <w:t xml:space="preserve"> </w:t>
      </w:r>
      <w:r>
        <w:t xml:space="preserve">“every §11.4.65-scope doc must be reachable from README,</w:t>
      </w:r>
      <w:r>
        <w:t xml:space="preserve"> </w:t>
      </w:r>
      <w:r>
        <w:t xml:space="preserve">directly or transitively”</w:t>
      </w:r>
      <w:r>
        <w:t xml:space="preserve"> </w:t>
      </w:r>
      <w:r>
        <w:t xml:space="preserve">obligation is a distinct, editorial-judgement-</w:t>
      </w:r>
      <w:r>
        <w:t xml:space="preserve"> </w:t>
      </w:r>
      <w:r>
        <w:t xml:space="preserve">bearing task (which subsection a guide/research doc/plan belongs under) and</w:t>
      </w:r>
      <w:r>
        <w:t xml:space="preserve"> </w:t>
      </w:r>
      <w:r>
        <w:t xml:space="preserve">is handled separately in README.md’s other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subsections — this</w:t>
      </w:r>
      <w:r>
        <w:t xml:space="preserve"> </w:t>
      </w:r>
      <w:r>
        <w:t xml:space="preserve">generator does not attempt it, to avoid silently mis-categorizing a doc it</w:t>
      </w:r>
      <w:r>
        <w:t xml:space="preserve"> </w:t>
      </w:r>
      <w:r>
        <w:t xml:space="preserve">has no basis to categorize (§11.4.6).</w:t>
      </w:r>
    </w:p>
    <w:bookmarkEnd w:id="11"/>
    <w:bookmarkStart w:id="13" w:name="internal-behavior"/>
    <w:p>
      <w:pPr>
        <w:pStyle w:val="Heading2"/>
      </w:pPr>
      <w:r>
        <w:t xml:space="preserve">Internal behavior</w:t>
      </w:r>
    </w:p>
    <w:p>
      <w:pPr>
        <w:pStyle w:val="Compact"/>
        <w:numPr>
          <w:ilvl w:val="0"/>
          <w:numId w:val="1001"/>
        </w:numPr>
      </w:pPr>
      <w:r>
        <w:t xml:space="preserve">Builds a manifest of</w:t>
      </w:r>
      <w:r>
        <w:t xml:space="preserve"> </w:t>
      </w:r>
      <w:r>
        <w:rPr>
          <w:rStyle w:val="VerbatimChar"/>
        </w:rPr>
        <w:t xml:space="preserve">label|relative-path</w:t>
      </w:r>
      <w:r>
        <w:t xml:space="preserve"> </w:t>
      </w:r>
      <w:r>
        <w:t xml:space="preserve">pairs: a fixed list plus two</w:t>
      </w:r>
      <w:r>
        <w:t xml:space="preserve"> </w:t>
      </w:r>
      <w:r>
        <w:t xml:space="preserve">auto-discovered classes (</w:t>
      </w:r>
      <w:r>
        <w:rPr>
          <w:rStyle w:val="VerbatimChar"/>
        </w:rPr>
        <w:t xml:space="preserve">docs/GOVERNANCE_AUDIT_*.md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docs/**/Status.md</w:t>
      </w:r>
      <w:r>
        <w:t xml:space="preserve"> </w:t>
      </w:r>
      <w:r>
        <w:t xml:space="preserve">pairs).</w:t>
      </w:r>
    </w:p>
    <w:p>
      <w:pPr>
        <w:pStyle w:val="Compact"/>
        <w:numPr>
          <w:ilvl w:val="0"/>
          <w:numId w:val="1001"/>
        </w:numPr>
      </w:pPr>
      <w:r>
        <w:t xml:space="preserve">For each manifest entry, reads</w:t>
      </w:r>
      <w:r>
        <w:t xml:space="preserve"> </w:t>
      </w:r>
      <w:r>
        <w:rPr>
          <w:rStyle w:val="VerbatimChar"/>
        </w:rPr>
        <w:t xml:space="preserve">**Revision:**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**Last modified:**</w:t>
      </w:r>
      <w:r>
        <w:t xml:space="preserve"> </w:t>
      </w:r>
      <w:r>
        <w:t xml:space="preserve">straight out of the file’s own header (§11.4.44) — a document with no</w:t>
      </w:r>
      <w:r>
        <w:t xml:space="preserve"> </w:t>
      </w:r>
      <w:r>
        <w:t xml:space="preserve">header emits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for both cells, never a fabricated value.</w:t>
      </w:r>
    </w:p>
    <w:p>
      <w:pPr>
        <w:pStyle w:val="Compact"/>
        <w:numPr>
          <w:ilvl w:val="0"/>
          <w:numId w:val="1001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[[ -f ... ]]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on THIS run —</w:t>
      </w:r>
      <w:r>
        <w:t xml:space="preserve"> </w:t>
      </w:r>
      <w:r>
        <w:t xml:space="preserve">never carried forward from the table’s previous state.</w:t>
      </w:r>
    </w:p>
    <w:p>
      <w:pPr>
        <w:pStyle w:val="Compact"/>
        <w:numPr>
          <w:ilvl w:val="0"/>
          <w:numId w:val="1001"/>
        </w:numPr>
      </w:pPr>
      <w:r>
        <w:t xml:space="preserve">Replaces only the table portion of the content between the</w:t>
      </w:r>
      <w:r>
        <w:t xml:space="preserve"> </w:t>
      </w:r>
      <w:r>
        <w:rPr>
          <w:rStyle w:val="VerbatimChar"/>
        </w:rPr>
        <w:t xml:space="preserve">doc-link-section</w:t>
      </w:r>
      <w:r>
        <w:t xml:space="preserve"> </w:t>
      </w:r>
      <w:r>
        <w:t xml:space="preserve">markers; the hand-authored intro paragraph above the</w:t>
      </w:r>
      <w:r>
        <w:t xml:space="preserve"> </w:t>
      </w:r>
      <w:r>
        <w:t xml:space="preserve">table, and anything after the table but before the end marker, are left</w:t>
      </w:r>
      <w:r>
        <w:t xml:space="preserve"> </w:t>
      </w:r>
      <w:r>
        <w:t xml:space="preserve">untouched.</w:t>
      </w:r>
    </w:p>
    <w:bookmarkStart w:id="12" w:name="Xa93663e7d7fe03902f78deb4623c01f8a4f083a"/>
    <w:p>
      <w:pPr>
        <w:pStyle w:val="Heading3"/>
      </w:pPr>
      <w:r>
        <w:t xml:space="preserve">A fixed defect worth knowing about (BOB-088, 2026-08-21)</w:t>
      </w:r>
    </w:p>
    <w:p>
      <w:pPr>
        <w:pStyle w:val="FirstParagraph"/>
      </w:pPr>
      <w:r>
        <w:t xml:space="preserve">The first version of the block-rewrite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state machine dropped only the</w:t>
      </w:r>
      <w:r>
        <w:t xml:space="preserve"> </w:t>
      </w:r>
      <w:r>
        <w:t xml:space="preserve">old table’s header line and its</w:t>
      </w:r>
      <w:r>
        <w:t xml:space="preserve"> </w:t>
      </w:r>
      <w:r>
        <w:rPr>
          <w:rStyle w:val="VerbatimChar"/>
        </w:rPr>
        <w:t xml:space="preserve">|---</w:t>
      </w:r>
      <w:r>
        <w:t xml:space="preserve"> </w:t>
      </w:r>
      <w:r>
        <w:t xml:space="preserve">separator, then fell through to</w:t>
      </w:r>
      <w:r>
        <w:t xml:space="preserve"> </w:t>
      </w:r>
      <w:r>
        <w:t xml:space="preserve">printing every old data row unchanged — so applying the generator to a</w:t>
      </w:r>
      <w:r>
        <w:t xml:space="preserve"> </w:t>
      </w:r>
      <w:r>
        <w:t xml:space="preserve">genuinely stale table produced</w:t>
      </w:r>
      <w:r>
        <w:t xml:space="preserve"> </w:t>
      </w:r>
      <w:r>
        <w:rPr>
          <w:b/>
          <w:bCs/>
        </w:rPr>
        <w:t xml:space="preserve">two back-to-back copies</w:t>
      </w:r>
      <w:r>
        <w:t xml:space="preserve"> </w:t>
      </w:r>
      <w:r>
        <w:t xml:space="preserve">of the table</w:t>
      </w:r>
      <w:r>
        <w:t xml:space="preserve"> </w:t>
      </w:r>
      <w:r>
        <w:t xml:space="preserve">instead of replacing it. Caught by a RED-first regression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tests/unit/test_update_readme_doc_links_no_duplication.sh</w:t>
      </w:r>
      <w:r>
        <w:t xml:space="preserve">, run against the</w:t>
      </w:r>
      <w:r>
        <w:t xml:space="preserve"> </w:t>
      </w:r>
      <w:r>
        <w:t xml:space="preserve">pre-fix script and confirmed to fail 3/5 assertions before the fix, then pass</w:t>
      </w:r>
      <w:r>
        <w:t xml:space="preserve"> </w:t>
      </w:r>
      <w:r>
        <w:t xml:space="preserve">5/5 after) before it ever shipped in a commit.</w:t>
      </w:r>
    </w:p>
    <w:bookmarkEnd w:id="12"/>
    <w:bookmarkEnd w:id="13"/>
    <w:bookmarkStart w:id="14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tests/unit/test_update_readme_doc_links_no_duplication.sh</w:t>
      </w:r>
      <w:r>
        <w:t xml:space="preserve"> </w:t>
      </w:r>
      <w:r>
        <w:t xml:space="preserve">— regression</w:t>
      </w:r>
      <w:r>
        <w:t xml:space="preserve"> </w:t>
      </w:r>
      <w:r>
        <w:t xml:space="preserve">guard for the table-duplication defect above; drives the real script</w:t>
      </w:r>
      <w:r>
        <w:t xml:space="preserve"> </w:t>
      </w:r>
      <w:r>
        <w:t xml:space="preserve">through its real invocation path against a fixture whose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row</w:t>
      </w:r>
      <w:r>
        <w:t xml:space="preserve"> </w:t>
      </w:r>
      <w:r>
        <w:t xml:space="preserve">carries a deliberately stale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, and asserts (1) exactly one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row survives the rewrite, (2) the stale value was corrected to</w:t>
      </w:r>
      <w:r>
        <w:t xml:space="preserve"> </w:t>
      </w:r>
      <w:r>
        <w:t xml:space="preserve">the real live value read off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 (3) content after the table</w:t>
      </w:r>
      <w:r>
        <w:t xml:space="preserve"> </w:t>
      </w:r>
      <w:r>
        <w:t xml:space="preserve">block is preserved, (4) the end marker is not duplicated, (5) a second run</w:t>
      </w:r>
      <w:r>
        <w:t xml:space="preserve"> </w:t>
      </w:r>
      <w:r>
        <w:t xml:space="preserve">is idempotent.</w:t>
      </w:r>
    </w:p>
    <w:bookmarkEnd w:id="14"/>
    <w:bookmarkStart w:id="15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rPr>
          <w:rStyle w:val="VerbatimChar"/>
        </w:rPr>
        <w:t xml:space="preserve">bash</w:t>
      </w:r>
      <w:r>
        <w:t xml:space="preserve"> </w:t>
      </w:r>
      <w:r>
        <w:t xml:space="preserve">4+,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. No Python, no network access.</w:t>
      </w:r>
    </w:p>
    <w:bookmarkEnd w:id="15"/>
    <w:bookmarkStart w:id="16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the file this script rewrites.</w:t>
      </w:r>
    </w:p>
    <w:p>
      <w:pPr>
        <w:pStyle w:val="Compact"/>
        <w:numPr>
          <w:ilvl w:val="0"/>
          <w:numId w:val="1003"/>
        </w:numPr>
      </w:pPr>
      <w:r>
        <w:t xml:space="preserve">CLAUDE.md /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§11.4.57 — the mandate this script</w:t>
      </w:r>
      <w:r>
        <w:t xml:space="preserve"> </w:t>
      </w:r>
      <w:r>
        <w:t xml:space="preserve">implements (README doc-link section + revision metadata).</w:t>
      </w:r>
    </w:p>
    <w:p>
      <w:pPr>
        <w:pStyle w:val="Compact"/>
        <w:numPr>
          <w:ilvl w:val="0"/>
          <w:numId w:val="1003"/>
        </w:numPr>
      </w:pPr>
      <w:r>
        <w:t xml:space="preserve">CLAUDE.md /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§11.4.212 — README as the canonical</w:t>
      </w:r>
      <w:r>
        <w:t xml:space="preserve"> </w:t>
      </w:r>
      <w:r>
        <w:t xml:space="preserve">documentation entry point (the broader obligation this script does NOT</w:t>
      </w:r>
      <w:r>
        <w:t xml:space="preserve"> </w:t>
      </w:r>
      <w:r>
        <w:t xml:space="preserve">attempt; see</w:t>
      </w:r>
      <w:r>
        <w:t xml:space="preserve"> </w:t>
      </w:r>
      <w:r>
        <w:t xml:space="preserve">“Scope”</w:t>
      </w:r>
      <w:r>
        <w:t xml:space="preserve"> </w:t>
      </w:r>
      <w:r>
        <w:t xml:space="preserve">above).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— must be run afterward to keep</w:t>
      </w:r>
      <w:r>
        <w:t xml:space="preserve"> </w:t>
      </w:r>
      <w:r>
        <w:rPr>
          <w:rStyle w:val="VerbatimChar"/>
        </w:rPr>
        <w:t xml:space="preserve">README.html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sync.</w:t>
      </w:r>
    </w:p>
    <w:p>
      <w:pPr>
        <w:pStyle w:val="Compact"/>
        <w:numPr>
          <w:ilvl w:val="0"/>
          <w:numId w:val="1003"/>
        </w:numPr>
      </w:pPr>
      <w:r>
        <w:t xml:space="preserve">BOB-088 — the tracked workable item this script closes.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2026-09-01T16:19:16Z</dcterms:created>
  <dcterms:modified xsi:type="dcterms:W3CDTF">2026-09-01T16:19:16Z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