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5" w:name="fixed-closed-workable-items"/>
    <w:p>
      <w:pPr>
        <w:pStyle w:val="Heading1"/>
      </w:pPr>
      <w:r>
        <w:t xml:space="preserve">Fixed — Closed Workable Items</w:t>
      </w:r>
    </w:p>
    <w:p>
      <w:pPr>
        <w:pStyle w:val="FirstParagraph"/>
      </w:pPr>
      <w:r>
        <w:rPr>
          <w:b/>
          <w:bCs/>
        </w:rPr>
        <w:t xml:space="preserve">Revision:</w:t>
      </w:r>
      <w:r>
        <w:t xml:space="preserve"> </w:t>
      </w:r>
      <w:r>
        <w:t xml:space="preserve">67</w:t>
      </w:r>
      <w:r>
        <w:t xml:space="preserve"> </w:t>
      </w:r>
      <w:r>
        <w:rPr>
          <w:b/>
          <w:bCs/>
        </w:rPr>
        <w:t xml:space="preserve">Last modified:</w:t>
      </w:r>
      <w:r>
        <w:t xml:space="preserve"> </w:t>
      </w:r>
      <w:r>
        <w:t xml:space="preserve">2026-09-25T17:12:26Z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7"/>
    <w:bookmarkStart w:id="118"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8"/>
    <w:bookmarkStart w:id="119"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19"/>
    <w:bookmarkStart w:id="120"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0"/>
    <w:bookmarkStart w:id="121"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1"/>
    <w:bookmarkStart w:id="122"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2"/>
    <w:bookmarkStart w:id="123"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3"/>
    <w:bookmarkStart w:id="124"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4"/>
    <w:bookmarkStart w:id="125"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5"/>
    <w:bookmarkStart w:id="126"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6"/>
    <w:bookmarkStart w:id="127"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7"/>
    <w:bookmarkStart w:id="128"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8"/>
    <w:bookmarkStart w:id="129"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29"/>
    <w:bookmarkStart w:id="130"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0"/>
    <w:bookmarkStart w:id="131"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1"/>
    <w:bookmarkStart w:id="132"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2"/>
    <w:bookmarkStart w:id="133"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3"/>
    <w:bookmarkStart w:id="134"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4"/>
    <w:bookmarkStart w:id="135"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5"/>
    <w:bookmarkStart w:id="136"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6"/>
    <w:bookmarkStart w:id="137"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7"/>
    <w:bookmarkStart w:id="138"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8"/>
    <w:bookmarkStart w:id="139"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39"/>
    <w:bookmarkStart w:id="140"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0"/>
    <w:bookmarkStart w:id="141"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1"/>
    <w:bookmarkStart w:id="142"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2"/>
    <w:bookmarkStart w:id="143"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3"/>
    <w:bookmarkStart w:id="144"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4"/>
    <w:bookmarkStart w:id="145"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5"/>
    <w:bookmarkStart w:id="146"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6"/>
    <w:bookmarkStart w:id="147"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7"/>
    <w:bookmarkStart w:id="148"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8"/>
    <w:bookmarkStart w:id="149"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49"/>
    <w:bookmarkStart w:id="150"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0"/>
    <w:bookmarkStart w:id="151"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1"/>
    <w:bookmarkStart w:id="152"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2"/>
    <w:bookmarkStart w:id="153"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3"/>
    <w:bookmarkStart w:id="154"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4"/>
    <w:bookmarkStart w:id="155"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5"/>
    <w:bookmarkStart w:id="156"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6"/>
    <w:bookmarkStart w:id="157"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7"/>
    <w:bookmarkStart w:id="158"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8"/>
    <w:bookmarkStart w:id="159"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59"/>
    <w:bookmarkStart w:id="160"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0"/>
    <w:bookmarkStart w:id="161"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1"/>
    <w:bookmarkStart w:id="162"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2"/>
    <w:bookmarkStart w:id="163"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3"/>
    <w:bookmarkStart w:id="164"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4"/>
    <w:bookmarkStart w:id="16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5"/>
    <w:bookmarkStart w:id="16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6"/>
    <w:bookmarkStart w:id="167"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7"/>
    <w:bookmarkStart w:id="168"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8"/>
    <w:bookmarkStart w:id="169"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69"/>
    <w:bookmarkStart w:id="170"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0"/>
    <w:bookmarkStart w:id="171"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1"/>
    <w:bookmarkStart w:id="17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2"/>
    <w:bookmarkStart w:id="173"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3"/>
    <w:bookmarkStart w:id="17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4"/>
    <w:bookmarkStart w:id="175"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5"/>
    <w:bookmarkStart w:id="176"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6"/>
    <w:bookmarkStart w:id="177"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7"/>
    <w:bookmarkStart w:id="178"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8"/>
    <w:bookmarkStart w:id="179"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79"/>
    <w:bookmarkStart w:id="180"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0"/>
    <w:bookmarkStart w:id="181"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1"/>
    <w:bookmarkStart w:id="182"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2"/>
    <w:bookmarkStart w:id="183"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3"/>
    <w:bookmarkStart w:id="184"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4"/>
    <w:bookmarkStart w:id="185"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5"/>
    <w:bookmarkStart w:id="186"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6"/>
    <w:bookmarkStart w:id="187"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7"/>
    <w:bookmarkStart w:id="188"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8"/>
    <w:bookmarkStart w:id="189"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89"/>
    <w:bookmarkStart w:id="190"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0"/>
    <w:bookmarkStart w:id="191"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1"/>
    <w:bookmarkStart w:id="192"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2"/>
    <w:bookmarkStart w:id="193"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3"/>
    <w:bookmarkStart w:id="194"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4"/>
    <w:bookmarkStart w:id="195"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5"/>
    <w:bookmarkStart w:id="196"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6"/>
    <w:bookmarkStart w:id="19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7"/>
    <w:bookmarkStart w:id="198"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8"/>
    <w:bookmarkStart w:id="199"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docs/qa/BOB-239/closure_evidence_20260925.md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199"/>
    <w:bookmarkStart w:id="200"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docs/qa/BOB-088/closure_evidence_20260925.md</w:t>
      </w:r>
      <w:r>
        <w:t xml:space="preserve"> </w:t>
      </w:r>
      <w:r>
        <w:rPr>
          <w:b/>
          <w:bCs/>
        </w:rPr>
        <w:t xml:space="preserve">Severity:</w:t>
      </w:r>
      <w:r>
        <w:t xml:space="preserve"> </w:t>
      </w:r>
      <w:r>
        <w:t xml:space="preserve">Medium</w:t>
      </w:r>
    </w:p>
    <w:p>
      <w:pPr>
        <w:pStyle w:val="BodyText"/>
      </w:pPr>
      <w:r>
        <w:t xml:space="preserve">RD2-21: Complete/verify README Tracked-Items + Status Documents table row-completeness (GA-07 remainder)</w:t>
      </w:r>
    </w:p>
    <w:bookmarkEnd w:id="200"/>
    <w:bookmarkStart w:id="201"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UX-class test coverage (accessibility/usability) absent</w:t>
      </w:r>
    </w:p>
    <w:bookmarkEnd w:id="201"/>
    <w:bookmarkStart w:id="202"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docs/qa/BOB-238/closure_evidence_20260925.md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202"/>
    <w:bookmarkStart w:id="203"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docs/qa/BOB-129/reopen_20260925.md</w:t>
      </w:r>
      <w:r>
        <w:t xml:space="preserve"> </w:t>
      </w:r>
      <w:r>
        <w:rPr>
          <w:b/>
          <w:bCs/>
        </w:rPr>
        <w:t xml:space="preserve">Severity:</w:t>
      </w:r>
      <w:r>
        <w:t xml:space="preserve"> </w:t>
      </w:r>
      <w:r>
        <w:t xml:space="preserve">Medium</w:t>
      </w:r>
    </w:p>
    <w:p>
      <w:pPr>
        <w:pStyle w:val="BodyText"/>
      </w:pPr>
      <w:r>
        <w:t xml:space="preserve">Potential production slowapi/starlette defect flagged by Task 105 subagent</w:t>
      </w:r>
    </w:p>
    <w:bookmarkEnd w:id="203"/>
    <w:bookmarkStart w:id="204" w:name="X65147ce2c5019f9b1357a063b35b3d811bb76a2"/>
    <w:p>
      <w:pPr>
        <w:pStyle w:val="Heading2"/>
      </w:pPr>
      <w:r>
        <w:t xml:space="preserve">BOB-241 — Test-wiring drift: BOB-234’s api_token param broke a direct plain-call site in test_bob192_fail_open_skip_remediation.py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docs/qa/BOB-192/test_wiring_fix_20260925.md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bookmarkEnd w:id="204"/>
    <w:bookmarkStart w:id="205" w:name="X7e8de38acc901e15875633ad3f5ece8a1b0b2dc"/>
    <w:p>
      <w:pPr>
        <w:pStyle w:val="Heading2"/>
      </w:pPr>
      <w:r>
        <w:t xml:space="preserve">BOB-135 — Test isolation: test_list_hooks_after_create fails in bulk suite (Permission denied /config)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docs/qa/BOB-135/closure_evidence_20260925.md</w:t>
      </w:r>
      <w:r>
        <w:t xml:space="preserve"> </w:t>
      </w:r>
      <w:r>
        <w:rPr>
          <w:b/>
          <w:bCs/>
        </w:rPr>
        <w:t xml:space="preserve">Severity:</w:t>
      </w:r>
      <w:r>
        <w:t xml:space="preserve"> </w:t>
      </w:r>
      <w:r>
        <w:t xml:space="preserve">Low</w:t>
      </w:r>
    </w:p>
    <w:p>
      <w:pPr>
        <w:pStyle w:val="BodyText"/>
      </w:pPr>
      <w:r>
        <w:t xml:space="preserve">Test isolation: test_list_hooks_after_create fails in bulk suite (Permission denied /config)</w:t>
      </w:r>
    </w:p>
    <w:bookmarkEnd w:id="205"/>
    <w:bookmarkStart w:id="206"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docs/qa/BOB-196/closure_evidence_20260925.md</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206"/>
    <w:bookmarkStart w:id="207"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docs/qa/BOB-187/closure_evidence_20260925.md</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207"/>
    <w:bookmarkStart w:id="208"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208"/>
    <w:bookmarkStart w:id="209"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docs/qa/BOB-175/closure_evidence_20260925.md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209"/>
    <w:bookmarkStart w:id="210"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210"/>
    <w:bookmarkStart w:id="211"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Obsolete-Details:</w:t>
      </w:r>
      <w:r>
        <w:t xml:space="preserve"> </w:t>
      </w:r>
      <w:r>
        <w:t xml:space="preserve">Since: 2026-09-25; Reason: duplicate-of; Superseding-item: BOB-223; Triple-check evidence: docs/qa/BOB-223/closure_evidence_20260925.md</w:t>
      </w:r>
    </w:p>
    <w:p>
      <w:pPr>
        <w:pStyle w:val="BodyText"/>
      </w:pPr>
      <w:r>
        <w:t xml:space="preserve">CM-SCRIPT-DOCS-SYNC is a named gate with no implementation, and 24 of 36 scripts have no companion doc</w:t>
      </w:r>
    </w:p>
    <w:bookmarkEnd w:id="211"/>
    <w:bookmarkStart w:id="212" w:name="Xb91c945b65373843824d9fad50ee2324c6b19e5"/>
    <w:p>
      <w:pPr>
        <w:pStyle w:val="Heading2"/>
      </w:pPr>
      <w:r>
        <w:t xml:space="preserve">BOB-240 — workable-items close/update do not validate the status word against the item’s Type (§11.4.33) — extend CLI + validate invariant (BOB-239 mechanical-fix half)</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docs/qa/BOB-240/closure_evidence_20260925.md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split from BOB-239 (closed 2026-09-25 after bulk-correcting 30</w:t>
      </w:r>
      <w:r>
        <w:t xml:space="preserve"> </w:t>
      </w:r>
      <w:r>
        <w:t xml:space="preserve">pre-existing §11.4.33 closure-vocabulary violations). This item is the</w:t>
      </w:r>
      <w:r>
        <w:t xml:space="preserve"> </w:t>
      </w:r>
      <w:r>
        <w:t xml:space="preserve">remaining MECHANICAL-PREVENTION half: extend</w:t>
      </w:r>
      <w:r>
        <w:t xml:space="preserve"> </w:t>
      </w:r>
      <w:r>
        <w:t xml:space="preserve">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w:t>
      </w:r>
      <w:r>
        <w:t xml:space="preserve"> </w:t>
      </w:r>
      <w:r>
        <w:t xml:space="preserve">VALIDATE the chosen status word against the item’s own Type (Bug-&gt;Fixed,</w:t>
      </w:r>
      <w:r>
        <w:t xml:space="preserve"> </w:t>
      </w:r>
      <w:r>
        <w:t xml:space="preserve">Feature-&gt;Implemented, Task-&gt;Completed, any type-&gt;Obsolete) and REFUSE a</w:t>
      </w:r>
      <w:r>
        <w:t xml:space="preserve"> </w:t>
      </w:r>
      <w:r>
        <w:t xml:space="preserve">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w:t>
      </w:r>
      <w:r>
        <w:t xml:space="preserve"> </w:t>
      </w:r>
      <w:r>
        <w:t xml:space="preserve">defense-in-depth — confirmed this session that</w:t>
      </w:r>
      <w:r>
        <w:t xml:space="preserve"> </w:t>
      </w:r>
      <w:r>
        <w:rPr>
          <w:rStyle w:val="VerbatimChar"/>
        </w:rPr>
        <w:t xml:space="preserve">validate: OK</w:t>
      </w:r>
      <w:r>
        <w:t xml:space="preserve"> </w:t>
      </w:r>
      <w:r>
        <w:t xml:space="preserve">ran</w:t>
      </w:r>
      <w:r>
        <w:t xml:space="preserve"> </w:t>
      </w:r>
      <w:r>
        <w:t xml:space="preserve">repeatedly against a DB simultaneously holding 30+ live violations of</w:t>
      </w:r>
      <w:r>
        <w:t xml:space="preserve"> </w:t>
      </w:r>
      <w:r>
        <w:t xml:space="preserve">this exact class, so the current invariant set does not check it.</w:t>
      </w:r>
    </w:p>
    <w:p>
      <w:pPr>
        <w:pStyle w:val="BodyText"/>
      </w:pPr>
      <w:r>
        <w:t xml:space="preserve">EVIDENCE THIS IS A REAL, RECURRING MISTAKE, NOT A HYPOTHETICAL: this</w:t>
      </w:r>
      <w:r>
        <w:t xml:space="preserve"> </w:t>
      </w:r>
      <w:r>
        <w:t xml:space="preserve">session’s own conductor made the identical error 4 times in a row</w:t>
      </w:r>
      <w:r>
        <w:t xml:space="preserve"> </w:t>
      </w:r>
      <w:r>
        <w:t xml:space="preserve">(BOB-077/100/179/226, all Type=Task closed with</w:t>
      </w:r>
      <w:r>
        <w:t xml:space="preserve"> </w:t>
      </w:r>
      <w:r>
        <w:rPr>
          <w:rStyle w:val="VerbatimChar"/>
        </w:rPr>
        <w:t xml:space="preserve">--status fixed</w:t>
      </w:r>
      <w:r>
        <w:t xml:space="preserve">) before</w:t>
      </w:r>
      <w:r>
        <w:t xml:space="preserve"> </w:t>
      </w:r>
      <w:r>
        <w:t xml:space="preserve">an unrelated self-audit caught it — on a DB that ALREADY held 30</w:t>
      </w:r>
      <w:r>
        <w:t xml:space="preserve"> </w:t>
      </w:r>
      <w:r>
        <w:t xml:space="preserve">historical instances of the same mistake from earlier sessions. A</w:t>
      </w:r>
      <w:r>
        <w:t xml:space="preserve"> </w:t>
      </w:r>
      <w:r>
        <w:t xml:space="preserve">CLI-level guard would have refused every one of those 34 calls at the</w:t>
      </w:r>
      <w:r>
        <w:t xml:space="preserve"> </w:t>
      </w:r>
      <w:r>
        <w:t xml:space="preserve">moment they were made, instead of requiring a human/agent to remember to</w:t>
      </w:r>
      <w:r>
        <w:t xml:space="preserve"> </w:t>
      </w:r>
      <w:r>
        <w:t xml:space="preserve">audit for it afterward.</w:t>
      </w:r>
    </w:p>
    <w:p>
      <w:pPr>
        <w:pStyle w:val="BodyText"/>
      </w:pPr>
      <w:r>
        <w:t xml:space="preserve">SCOPE: constitution/scripts/workable-items/ (Go source) — a UNIVERSAL,</w:t>
      </w:r>
      <w:r>
        <w:t xml:space="preserve"> </w:t>
      </w:r>
      <w:r>
        <w:t xml:space="preserve">constitution-submodule-owned tool, per §11.4.17. Landing a real fix here</w:t>
      </w:r>
      <w:r>
        <w:t xml:space="preserve"> </w:t>
      </w:r>
      <w:r>
        <w:t xml:space="preserve">needs the §11.4.26 fetch/merge/push-to-all-upstreams workflow, same as</w:t>
      </w:r>
      <w:r>
        <w:t xml:space="preserve"> </w:t>
      </w:r>
      <w:r>
        <w:t xml:space="preserve">BOB-191’s gate fix this session, NOT boba’s own commit-push-all.sh.</w:t>
      </w:r>
    </w:p>
    <w:p>
      <w:pPr>
        <w:pStyle w:val="BodyText"/>
      </w:pPr>
      <w:r>
        <w:t xml:space="preserve">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w:t>
      </w:r>
      <w:r>
        <w:t xml:space="preserve"> </w:t>
      </w:r>
      <w:r>
        <w:t xml:space="preserve">Type, printing the correct word to use; (2) same for</w:t>
      </w:r>
      <w:r>
        <w:t xml:space="preserve"> </w:t>
      </w:r>
      <w:r>
        <w:rPr>
          <w:rStyle w:val="VerbatimChar"/>
        </w:rPr>
        <w:t xml:space="preserve">update --status</w:t>
      </w:r>
      <w:r>
        <w:t xml:space="preserve">;</w:t>
      </w:r>
      <w:r>
        <w:t xml:space="preserve"> </w:t>
      </w:r>
      <w:r>
        <w:t xml:space="preserve">(3)</w:t>
      </w:r>
      <w:r>
        <w:t xml:space="preserve"> </w:t>
      </w:r>
      <w:r>
        <w:rPr>
          <w:rStyle w:val="VerbatimChar"/>
        </w:rPr>
        <w:t xml:space="preserve">validate</w:t>
      </w:r>
      <w:r>
        <w:t xml:space="preserve"> </w:t>
      </w:r>
      <w:r>
        <w:t xml:space="preserve">gains a new invariant scanning every Fixed-location item</w:t>
      </w:r>
      <w:r>
        <w:t xml:space="preserve"> </w:t>
      </w:r>
      <w:r>
        <w:t xml:space="preserve">for a Type/Status mismatch per the closed §11.4.33 mapping, FAILing (not</w:t>
      </w:r>
      <w:r>
        <w:t xml:space="preserve"> </w:t>
      </w:r>
      <w:r>
        <w:t xml:space="preserve">silently passing) on any hit; (4) each of (1)-(3) ships a paired §1.1</w:t>
      </w:r>
      <w:r>
        <w:t xml:space="preserve"> </w:t>
      </w:r>
      <w:r>
        <w:t xml:space="preserve">mutation proving the check is load-bearing (a neutered version of the</w:t>
      </w:r>
      <w:r>
        <w:t xml:space="preserve"> </w:t>
      </w:r>
      <w:r>
        <w:t xml:space="preserve">check must let a known-bad Type/Status pair through); (5) the Obsolete</w:t>
      </w:r>
      <w:r>
        <w:t xml:space="preserve"> </w:t>
      </w:r>
      <w:r>
        <w:t xml:space="preserve">status is correctly treated as valid for ANY Type (it is not part of the</w:t>
      </w:r>
      <w:r>
        <w:t xml:space="preserve"> </w:t>
      </w:r>
      <w:r>
        <w:t xml:space="preserve">type-specific mapping) so the new check does not false-positive on</w:t>
      </w:r>
      <w:r>
        <w:t xml:space="preserve"> </w:t>
      </w:r>
      <w:r>
        <w:t xml:space="preserve">legitimately Obsolete-closed items.</w:t>
      </w:r>
    </w:p>
    <w:p>
      <w:pPr>
        <w:pStyle w:val="BodyText"/>
      </w:pPr>
      <w:r>
        <w:t xml:space="preserve">DISCOVERY CHANNEL (§11.4.238): found by the conductor’s own repeated,</w:t>
      </w:r>
      <w:r>
        <w:t xml:space="preserve"> </w:t>
      </w:r>
      <w:r>
        <w:t xml:space="preserve">self-caught instances of the mistake this session, generalised into</w:t>
      </w:r>
      <w:r>
        <w:t xml:space="preserve"> </w:t>
      </w:r>
      <w:r>
        <w:t xml:space="preserve">BOB-239 (the bulk-correction), now split into this item (the mechanical</w:t>
      </w:r>
      <w:r>
        <w:t xml:space="preserve"> </w:t>
      </w:r>
      <w:r>
        <w:t xml:space="preserve">prevention) per BOB-239’s own acceptance criterion 2/3.</w:t>
      </w:r>
    </w:p>
    <w:bookmarkEnd w:id="212"/>
    <w:bookmarkStart w:id="213" w:name="X8bd95cae8cd6f12dc6ab3d3defb95364635d301"/>
    <w:p>
      <w:pPr>
        <w:pStyle w:val="Heading2"/>
      </w:pPr>
      <w:r>
        <w:t xml:space="preserve">BOB-245 — git pre-commit mutation-marker guard false-positive-blocks legitimate docs/test prose describing the §1.1 methodology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docs/qa/BOB-245/closure_evidence_20260925.md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bookmarkEnd w:id="213"/>
    <w:bookmarkStart w:id="214" w:name="X043a2cfbaefd4ae6f4d930fc74b9b3ef1069741"/>
    <w:p>
      <w:pPr>
        <w:pStyle w:val="Heading2"/>
      </w:pPr>
      <w:r>
        <w:t xml:space="preserve">BOB-244 — CM-GITIGNORE-SWALLOW-GUARD: 4 first-party superspec scripts silently swallowed by .gitignore:218</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docs/qa/BOB-244/closure_evidence_20260925.md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2026-09-26T08:52:18Z</dcterms:created>
  <dcterms:modified xsi:type="dcterms:W3CDTF">2026-09-26T08:52:18Z</dcterms:modified>
</cp:coreProperties>
</file>

<file path=docProps/custom.xml><?xml version="1.0" encoding="utf-8"?>
<Properties xmlns="http://schemas.openxmlformats.org/officeDocument/2006/custom-properties" xmlns:vt="http://schemas.openxmlformats.org/officeDocument/2006/docPropsVTypes"/>
</file>