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issues-open-workable-items"/>
    <w:p>
      <w:pPr>
        <w:pStyle w:val="Heading1"/>
      </w:pPr>
      <w:r>
        <w:t xml:space="preserve">Issues — Open Workable Items</w:t>
      </w:r>
    </w:p>
    <w:p>
      <w:pPr>
        <w:pStyle w:val="FirstParagraph"/>
      </w:pPr>
      <w:r>
        <w:rPr>
          <w:b/>
          <w:bCs/>
        </w:rPr>
        <w:t xml:space="preserve">Revision:</w:t>
      </w:r>
      <w:r>
        <w:t xml:space="preserve"> </w:t>
      </w:r>
      <w:r>
        <w:t xml:space="preserve">96</w:t>
      </w:r>
      <w:r>
        <w:t xml:space="preserve"> </w:t>
      </w:r>
      <w:r>
        <w:rPr>
          <w:b/>
          <w:bCs/>
        </w:rPr>
        <w:t xml:space="preserve">Last modified:</w:t>
      </w:r>
      <w:r>
        <w:t xml:space="preserve"> </w:t>
      </w:r>
      <w:r>
        <w:t xml:space="preserve">2026-09-23T07:42:46Z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BOB-141 — CLAUDE.md claims the Go profile serves 7186/7187/7188 but its container binds only 7187 — doc contradicts the Dockerfile</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CLAUDE.md’s Architecture section states:</w:t>
      </w:r>
    </w:p>
    <w:p>
      <w:pPr>
        <w:pStyle w:val="BodyText"/>
      </w:pPr>
      <w:r>
        <w:t xml:space="preserve">“qbittorrent-proxy-go (Go/Gin, opt-in via –profile go) – replaces the Python</w:t>
      </w:r>
      <w:r>
        <w:t xml:space="preserve"> </w:t>
      </w:r>
      <w:r>
        <w:t xml:space="preserve">proxy on 7186, 7187, 7188”</w:t>
      </w:r>
    </w:p>
    <w:p>
      <w:pPr>
        <w:pStyle w:val="BodyText"/>
      </w:pPr>
      <w:r>
        <w:t xml:space="preserve">The container cannot deliver that. Read from source rather than prose:</w:t>
      </w:r>
    </w:p>
    <w:p>
      <w:pPr>
        <w:pStyle w:val="BodyText"/>
      </w:pPr>
      <w:r>
        <w:t xml:space="preserve">qBitTorrent-go/Dockerfile:16 CMD [</w:t>
      </w:r>
      <w:r>
        <w:t xml:space="preserve">“/app/qbittorrent-proxy”</w:t>
      </w:r>
      <w:r>
        <w:t xml:space="preserve">] (ONE binary)</w:t>
      </w:r>
      <w:r>
        <w:t xml:space="preserve"> </w:t>
      </w:r>
      <w:r>
        <w:t xml:space="preserve">qBitTorrent-go/Dockerfile:15 EXPOSE 7187 7188 (declares 2)</w:t>
      </w:r>
      <w:r>
        <w:t xml:space="preserve"> </w:t>
      </w:r>
      <w:r>
        <w:t xml:space="preserve">cmd/qbittorrent-proxy/main.go r.Run(fmt.Sprintf(</w:t>
      </w:r>
      <w:r>
        <w:t xml:space="preserve">“:%d”</w:t>
      </w:r>
      <w:r>
        <w:t xml:space="preserve">, cfg.ServerPort)) (binds 1)</w:t>
      </w:r>
      <w:r>
        <w:t xml:space="preserve"> </w:t>
      </w:r>
      <w:r>
        <w:t xml:space="preserve">internal/config/config.go:58 ServerPort = MERGE_SERVICE_PORT (default 7187)</w:t>
      </w:r>
    </w:p>
    <w:p>
      <w:pPr>
        <w:pStyle w:val="BodyText"/>
      </w:pPr>
      <w:r>
        <w:t xml:space="preserve">So the qbittorrent-proxy-go container binds 7187 ONLY. webui-bridge is a SEPARATE</w:t>
      </w:r>
      <w:r>
        <w:t xml:space="preserve"> </w:t>
      </w:r>
      <w:r>
        <w:t xml:space="preserve">binary (cmd/webui-bridge, /bridge/health, cfg.BridgePort) that this container never</w:t>
      </w:r>
      <w:r>
        <w:t xml:space="preserve"> </w:t>
      </w:r>
      <w:r>
        <w:t xml:space="preserve">starts, and nothing in it binds 7186 either – although the compose service does set</w:t>
      </w:r>
      <w:r>
        <w:t xml:space="preserve"> </w:t>
      </w:r>
      <w:r>
        <w:t xml:space="preserve">PROXY_PORT=7186 and BRIDGE_PORT=7188 in its environment, which reinforces the wrong</w:t>
      </w:r>
      <w:r>
        <w:t xml:space="preserve"> </w:t>
      </w:r>
      <w:r>
        <w:t xml:space="preserve">impression. EXPOSE likewise declares a port nothing binds.</w:t>
      </w:r>
    </w:p>
    <w:p>
      <w:pPr>
        <w:pStyle w:val="BodyText"/>
      </w:pPr>
      <w:r>
        <w:t xml:space="preserve">WHY THIS MATTERS BEYOND TIDINESS: this prose was used as the source of truth when</w:t>
      </w:r>
      <w:r>
        <w:t xml:space="preserve"> </w:t>
      </w:r>
      <w:r>
        <w:t xml:space="preserve">first authoring config/served_ports.yaml, producing a manifest entry of</w:t>
      </w:r>
      <w:r>
        <w:t xml:space="preserve"> </w:t>
      </w:r>
      <w:r>
        <w:t xml:space="preserve">[7186, 7187, 7188] for that service. The healthcheck gate built on it then FAILED a</w:t>
      </w:r>
      <w:r>
        <w:t xml:space="preserve"> </w:t>
      </w:r>
      <w:r>
        <w:t xml:space="preserve">service whose healthcheck was already correct – a §11.4.201(1) false-positive</w:t>
      </w:r>
      <w:r>
        <w:t xml:space="preserve"> </w:t>
      </w:r>
      <w:r>
        <w:t xml:space="preserve">refusal caused directly by trusting the doc over the Dockerfile. The manifest was</w:t>
      </w:r>
      <w:r>
        <w:t xml:space="preserve"> </w:t>
      </w:r>
      <w:r>
        <w:t xml:space="preserve">corrected against source; the doc was not, and will mislead the next reader the</w:t>
      </w:r>
      <w:r>
        <w:t xml:space="preserve"> </w:t>
      </w:r>
      <w:r>
        <w:t xml:space="preserve">same way.</w:t>
      </w:r>
    </w:p>
    <w:p>
      <w:pPr>
        <w:pStyle w:val="BodyText"/>
      </w:pPr>
      <w:r>
        <w:t xml:space="preserve">Either the doc is wrong, or the Go container is under-provisioned relative to intent</w:t>
      </w:r>
      <w:r>
        <w:t xml:space="preserve"> </w:t>
      </w:r>
      <w:r>
        <w:t xml:space="preserve">(it should also run webui-bridge and a 7186 listener). Determining WHICH is part of</w:t>
      </w:r>
      <w:r>
        <w:t xml:space="preserve"> </w:t>
      </w:r>
      <w:r>
        <w:t xml:space="preserve">this task – do not simply reword the doc to match the current binary if the</w:t>
      </w:r>
      <w:r>
        <w:t xml:space="preserve"> </w:t>
      </w:r>
      <w:r>
        <w:t xml:space="preserve">intended design was a three-port container.</w:t>
      </w:r>
    </w:p>
    <w:p>
      <w:pPr>
        <w:pStyle w:val="BodyText"/>
      </w:pPr>
      <w:r>
        <w:t xml:space="preserve">Related: the Go service’s compose block sets PROXY_PORT and BRIDGE_PORT that no</w:t>
      </w:r>
      <w:r>
        <w:t xml:space="preserve"> </w:t>
      </w:r>
      <w:r>
        <w:t xml:space="preserve">process in the container consumes, and EXPOSE lists 7188 unbound. Whichever way the</w:t>
      </w:r>
      <w:r>
        <w:t xml:space="preserve"> </w:t>
      </w:r>
      <w:r>
        <w:t xml:space="preserve">above resolves, those should agree with reality afterwards.</w:t>
      </w:r>
    </w:p>
    <w:p>
      <w:pPr>
        <w:pStyle w:val="BodyText"/>
      </w:pPr>
      <w:r>
        <w:rPr>
          <w:b/>
          <w:bCs/>
        </w:rPr>
        <w:t xml:space="preserve">Affected scope / file-scope manifest:</w:t>
      </w:r>
      <w:r>
        <w:t xml:space="preserve"> </w:t>
      </w:r>
      <w:r>
        <w:t xml:space="preserve">CLAUDE.md (Architecture + Port Map), docker-compose.yml (qbittorrent-proxy-go env/EXPOSE), qBitTorrent-go/Dockerfile</w:t>
      </w:r>
    </w:p>
    <w:p>
      <w:pPr>
        <w:pStyle w:val="BodyText"/>
      </w:pPr>
      <w:r>
        <w:rPr>
          <w:b/>
          <w:bCs/>
        </w:rPr>
        <w:t xml:space="preserve">Reproduction / context:</w:t>
      </w:r>
      <w:r>
        <w:t xml:space="preserve"> </w:t>
      </w:r>
      <w:r>
        <w:t xml:space="preserve">Read qBitTorrent-go/Dockerfile:16 (single CMD) against CLAUDE.md’s</w:t>
      </w:r>
      <w:r>
        <w:t xml:space="preserve"> </w:t>
      </w:r>
      <w:r>
        <w:t xml:space="preserve">‘replaces the Python proxy on 7186, 7187, 7188’</w:t>
      </w:r>
      <w:r>
        <w:t xml:space="preserve">; confirm cfg.ServerPort resolves to MERGE_SERVICE_PORT=7187 in internal/config/config.go:58.</w:t>
      </w:r>
    </w:p>
    <w:p>
      <w:pPr>
        <w:pStyle w:val="BodyText"/>
      </w:pPr>
      <w:r>
        <w:rPr>
          <w:b/>
          <w:bCs/>
        </w:rPr>
        <w:t xml:space="preserve">Acceptance criteria:</w:t>
      </w:r>
      <w:r>
        <w:t xml:space="preserve"> </w:t>
      </w:r>
      <w:r>
        <w:t xml:space="preserve">Doc and container agree, with the direction of the fix decided deliberately (correct the doc, or provision the container to match the documented intent). PROXY_PORT/BRIDGE_PORT env and EXPOSE lines agree with what the container actually binds.</w:t>
      </w:r>
    </w:p>
    <w:bookmarkEnd w:id="39"/>
    <w:bookmarkStart w:id="40"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40"/>
    <w:bookmarkStart w:id="41"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2026-08-21T14:46:07Z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pre-build runner announces each invariant as [N/44], but only 35 invariants carry a label and only 35 distinct CM-* gate names are announced. Numbers 33-38, 40, 42 and 43 are unused; there are no duplicates. An operator reading the output sees</w:t>
      </w:r>
      <w:r>
        <w:t xml:space="preserve"> </w:t>
      </w:r>
      <w:r>
        <w:t xml:space="preserve">‘[44/44]’</w:t>
      </w:r>
      <w:r>
        <w:t xml:space="preserve"> </w:t>
      </w:r>
      <w:r>
        <w:t xml:space="preserve">scroll past and reasonably concludes 44 invariants ran, when 35 did - the output overstates coverage by 9. This is PRE-EXISTING and was surfaced while wiring CM-OWNERSHIP-INVARIANTS, which deliberately took free slot 33 precisely to avoid a 35-label renumbering that would have conflicted with concurrent work. That gate neither introduced nor fixed this. Filing rather than absorbing it silently, per the closed-or-tracked rule: an unstated finding reads as no finding.</w:t>
      </w:r>
    </w:p>
    <w:p>
      <w:pPr>
        <w:pStyle w:val="BodyText"/>
      </w:pPr>
      <w:r>
        <w:rPr>
          <w:b/>
          <w:bCs/>
        </w:rPr>
        <w:t xml:space="preserve">Affected scope / file-scope manifest:</w:t>
      </w:r>
      <w:r>
        <w:t xml:space="preserve"> </w:t>
      </w:r>
      <w:r>
        <w:t xml:space="preserve">scripts/pre_build_verification.sh</w:t>
      </w:r>
    </w:p>
    <w:p>
      <w:pPr>
        <w:pStyle w:val="BodyText"/>
      </w:pPr>
      <w:r>
        <w:rPr>
          <w:b/>
          <w:bCs/>
        </w:rPr>
        <w:t xml:space="preserve">Reproduction / context:</w:t>
      </w:r>
      <w:r>
        <w:t xml:space="preserve"> </w:t>
      </w:r>
      <w:r>
        <w:t xml:space="preserve">grep -oE</w:t>
      </w:r>
      <w:r>
        <w:t xml:space="preserve"> </w:t>
      </w:r>
      <w:r>
        <w:t xml:space="preserve">‘[[0-9]+/44]’</w:t>
      </w:r>
      <w:r>
        <w:t xml:space="preserve"> </w:t>
      </w:r>
      <w:r>
        <w:t xml:space="preserve">scripts/pre_build_verification.sh | wc -l -&gt; 35 (denominator says 44); numbers 33-38, 40, 42, 43 are unused, no duplicates. Distinct CM-* names announced in the file: 35, which agrees with the label count and not with the denominator.</w:t>
      </w:r>
    </w:p>
    <w:p>
      <w:pPr>
        <w:pStyle w:val="BodyText"/>
      </w:pPr>
      <w:r>
        <w:rPr>
          <w:b/>
          <w:bCs/>
        </w:rPr>
        <w:t xml:space="preserve">Acceptance criteria:</w:t>
      </w:r>
      <w:r>
        <w:t xml:space="preserve"> </w:t>
      </w:r>
      <w:r>
        <w:t xml:space="preserve">Either the denominator matches the real number of labelled invariants, or the numbering is compacted to be contiguous - and whichever is chosen, a gate or the runner itself derives the denominator rather than restating it as a literal, so the two cannot drift apart again.</w:t>
      </w:r>
    </w:p>
    <w:bookmarkEnd w:id="41"/>
    <w:bookmarkStart w:id="42"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2"/>
    <w:bookmarkStart w:id="43"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2026-08-21T15:10:28Z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constitution sweep passes –root at the repository root, so every gate walks vendored third-party code the project neither wrote nor ships: submodules/helixqa/tools/opensource/perfetto, chroma, skyvern, mem0 and so on. Measured today, 82% of one gate’s findings originate there. This is a false-positive refusal at scale: it fails the sweep over code that cannot be fixed here, and it buries the 4497 first-party findings that might actually matter under 31496 that do not. A second, subtler instance: cm_killpg_pgid_guard flags its OWN golden-bad fixtures and the BOB-126 incident docstrings - the gate reporting on the very artifacts that prove it works. Surfaced while fixing the .worktrees/ half of this problem (BOB-143), which was the smaller 6% slice; that fix was deliberately scoped to .worktrees/ rather than quietly widened to cover this, because excluding submodules/ is a materially larger decision about what the sweep is for and deserves its own review.</w:t>
      </w:r>
    </w:p>
    <w:p>
      <w:pPr>
        <w:pStyle w:val="BodyText"/>
      </w:pPr>
      <w:r>
        <w:rPr>
          <w:b/>
          <w:bCs/>
        </w:rPr>
        <w:t xml:space="preserve">Affected scope / file-scope manifest:</w:t>
      </w:r>
      <w:r>
        <w:t xml:space="preserve"> </w:t>
      </w:r>
      <w:r>
        <w:t xml:space="preserve">scripts/verify-all-constitution-rules.sh, config/constitution-sweep.conf, constitution/scripts/gates/*</w:t>
      </w:r>
    </w:p>
    <w:p>
      <w:pPr>
        <w:pStyle w:val="BodyText"/>
      </w:pPr>
      <w:r>
        <w:rPr>
          <w:b/>
          <w:bCs/>
        </w:rPr>
        <w:t xml:space="preserve">Reproduction / context:</w:t>
      </w:r>
      <w:r>
        <w:t xml:space="preserve"> </w:t>
      </w:r>
      <w:r>
        <w:t xml:space="preserve">config/constitution-sweep.conf line 27 passes</w:t>
      </w:r>
      <w:r>
        <w:t xml:space="preserve"> </w:t>
      </w:r>
      <w:r>
        <w:t xml:space="preserve">‘DEFAULT –root</w:t>
      </w:r>
      <w:r>
        <w:t xml:space="preserve"> </w:t>
      </w:r>
      <w:r>
        <w:t xml:space="preserve">@ROOT</w:t>
      </w:r>
      <w:r>
        <w:t xml:space="preserve">@’</w:t>
      </w:r>
      <w:r>
        <w:t xml:space="preserve">, so every gate walks the whole repository. Per-tree census of cm_oracle_strategy_named_and_independent over the full root: 38291 findings total - 31496 (82%) from submodules/, 2280 (6%) from .worktrees/, 4497 from the real tree. cm_killpg_pgid_guard: 18 findings - 9 from submodules/, and of the 8 in the real tree several are the gate’s OWN golden-bad fixtures and BOB-126 docstrings.</w:t>
      </w:r>
    </w:p>
    <w:p>
      <w:pPr>
        <w:pStyle w:val="BodyText"/>
      </w:pPr>
      <w:r>
        <w:rPr>
          <w:b/>
          <w:bCs/>
        </w:rPr>
        <w:t xml:space="preserve">Acceptance criteria:</w:t>
      </w:r>
      <w:r>
        <w:t xml:space="preserve"> </w:t>
      </w:r>
      <w:r>
        <w:t xml:space="preserve">The sweep scans code this project actually ships. Vendored third-party trees under submodules/ are excluded or scoped explicitly, and any gate’s own golden-bad fixtures are excluded from its own scan - with the exclusion validated in BOTH directions (a planted violation in first-party code must still FAIL) so this does not become narrow-until-green.</w:t>
      </w:r>
    </w:p>
    <w:bookmarkEnd w:id="43"/>
    <w:bookmarkStart w:id="44"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host virtualenv used to run this project’s unit tests resolves starlette 1.4.1 while the running qbittorrent-proxy container resolves 1.6.0. Every other implicated package matches, so this is a genuine unpinned-transitive-dependency drift rather than a deliberate difference. It matters because it silently weakens every test result: a green suite on the host is evidence about 1.4.1, and production is 1.6.0. A behavioural change between those versions would be invisible to the tests that exist to catch it, which is the build-once-run-the-same-bytes property the constitution asks for. Surfaced while investigating BOB-129, where the defect happened to reproduce IDENTICALLY at both versions - which is what allowed that ticket’s slowapi/starlette-incompatibility premise to be refuted. That was luck, not design: the next divergence may not be version-independent, and nothing would tell us.</w:t>
      </w:r>
    </w:p>
    <w:p>
      <w:pPr>
        <w:pStyle w:val="BodyText"/>
      </w:pPr>
      <w:r>
        <w:rPr>
          <w:b/>
          <w:bCs/>
        </w:rPr>
        <w:t xml:space="preserve">Affected scope / file-scope manifest:</w:t>
      </w:r>
      <w:r>
        <w:t xml:space="preserve"> </w:t>
      </w:r>
      <w:r>
        <w:t xml:space="preserve">download-proxy/requirements.txt, .venv, container qbittorrent-proxy</w:t>
      </w:r>
    </w:p>
    <w:p>
      <w:pPr>
        <w:pStyle w:val="BodyText"/>
      </w:pPr>
      <w:r>
        <w:rPr>
          <w:b/>
          <w:bCs/>
        </w:rPr>
        <w:t xml:space="preserve">Reproduction / context:</w:t>
      </w:r>
      <w:r>
        <w:t xml:space="preserve"> </w:t>
      </w:r>
      <w:r>
        <w:t xml:space="preserve">.venv/bin/python -c ’import starlette;print(starlette.__version__)’ -&gt; 1.4.1 ; podman exec qbittorrent-proxy python -c ’import starlette;print(starlette.__version__)’ -&gt; 1.6.0. Same fastapi (0.141.1), same slowapi (0.1.10), same limits (5.8.0) - starlette alone diverges.</w:t>
      </w:r>
    </w:p>
    <w:p>
      <w:pPr>
        <w:pStyle w:val="BodyText"/>
      </w:pPr>
      <w:r>
        <w:rPr>
          <w:b/>
          <w:bCs/>
        </w:rPr>
        <w:t xml:space="preserve">Acceptance criteria:</w:t>
      </w:r>
      <w:r>
        <w:t xml:space="preserve"> </w:t>
      </w:r>
      <w:r>
        <w:t xml:space="preserve">The interpreter that runs the tests and the interpreter that serves production resolve the same versions, pinned so they cannot drift apart silently - or, if a divergence is deliberate, it is declared and a check asserts the declared pair rather than leaving it to chance.</w:t>
      </w:r>
    </w:p>
    <w:bookmarkEnd w:id="44"/>
    <w:bookmarkStart w:id="45"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5"/>
    <w:bookmarkStart w:id="46"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46"/>
    <w:bookmarkStart w:id="47"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7"/>
    <w:bookmarkStart w:id="4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2"/>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2"/>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2"/>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48"/>
    <w:bookmarkStart w:id="49"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49"/>
    <w:bookmarkStart w:id="50"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50"/>
    <w:bookmarkStart w:id="51"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51"/>
    <w:bookmarkStart w:id="5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52"/>
    <w:bookmarkStart w:id="53"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53"/>
    <w:bookmarkStart w:id="54"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54"/>
    <w:bookmarkStart w:id="5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55"/>
    <w:bookmarkStart w:id="5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56"/>
    <w:bookmarkStart w:id="57"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57"/>
    <w:bookmarkStart w:id="58"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58"/>
    <w:bookmarkStart w:id="59"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59"/>
    <w:bookmarkStart w:id="60"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60"/>
    <w:bookmarkStart w:id="61"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61"/>
    <w:bookmarkStart w:id="62"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3"/>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3"/>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62"/>
    <w:bookmarkStart w:id="63"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63"/>
    <w:bookmarkStart w:id="64"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64"/>
    <w:bookmarkStart w:id="65"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65"/>
    <w:bookmarkStart w:id="6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66"/>
    <w:bookmarkStart w:id="67"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67"/>
    <w:bookmarkStart w:id="68"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68"/>
    <w:bookmarkStart w:id="6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69"/>
    <w:bookmarkStart w:id="70"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70"/>
    <w:bookmarkStart w:id="71"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71"/>
    <w:bookmarkStart w:id="72"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72"/>
    <w:bookmarkStart w:id="73"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73"/>
    <w:bookmarkStart w:id="74"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74"/>
    <w:bookmarkStart w:id="75"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75"/>
    <w:bookmarkStart w:id="76"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76"/>
    <w:bookmarkStart w:id="77"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77"/>
    <w:bookmarkStart w:id="78"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bookmarkEnd w:id="78"/>
    <w:bookmarkStart w:id="79"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79"/>
    <w:bookmarkStart w:id="8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80"/>
    <w:bookmarkStart w:id="81"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81"/>
    <w:bookmarkStart w:id="82"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82"/>
    <w:bookmarkStart w:id="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83"/>
    <w:bookmarkStart w:id="84"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2026-09-23T07:42:47Z</dcterms:created>
  <dcterms:modified xsi:type="dcterms:W3CDTF">2026-09-23T07:42:47Z</dcterms:modified>
</cp:coreProperties>
</file>

<file path=docProps/custom.xml><?xml version="1.0" encoding="utf-8"?>
<Properties xmlns="http://schemas.openxmlformats.org/officeDocument/2006/custom-properties" xmlns:vt="http://schemas.openxmlformats.org/officeDocument/2006/docPropsVTypes"/>
</file>