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b-110-closure-evidence"/>
    <w:p>
      <w:pPr>
        <w:pStyle w:val="Heading1"/>
      </w:pPr>
      <w:r>
        <w:t xml:space="preserve">BOB-110 — Closure Evidence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 (discovered via BOB-238 investigation, independently</w:t>
      </w:r>
      <w:r>
        <w:t xml:space="preserve"> </w:t>
      </w:r>
      <w:r>
        <w:t xml:space="preserve">re-verified by the conductor)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</w:p>
    <w:p>
      <w:pPr>
        <w:pStyle w:val="BodyText"/>
      </w:pPr>
      <w:r>
        <w:t xml:space="preserve">Already implemented at commit</w:t>
      </w:r>
      <w:r>
        <w:t xml:space="preserve"> </w:t>
      </w:r>
      <w:r>
        <w:rPr>
          <w:rStyle w:val="VerbatimChar"/>
        </w:rPr>
        <w:t xml:space="preserve">7b45113c6b03524d9c799bdd68496ec202575e4c</w:t>
      </w:r>
      <w:r>
        <w:t xml:space="preserve"> </w:t>
      </w:r>
      <w:r>
        <w:t xml:space="preserve">(2026-08-21): a full</w:t>
      </w:r>
      <w:r>
        <w:t xml:space="preserve"> </w:t>
      </w:r>
      <w:r>
        <w:rPr>
          <w:rStyle w:val="VerbatimChar"/>
        </w:rPr>
        <w:t xml:space="preserve">tests/ux/</w:t>
      </w:r>
      <w:r>
        <w:t xml:space="preserve"> </w:t>
      </w:r>
      <w:r>
        <w:t xml:space="preserve">suite (axe-core against real</w:t>
      </w:r>
      <w:r>
        <w:t xml:space="preserve"> </w:t>
      </w:r>
      <w:r>
        <w:t xml:space="preserve">Playwright-rendered DOM, real keyboard Tab-traversal, real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computed-style checks) +</w:t>
      </w:r>
      <w:r>
        <w:t xml:space="preserve"> </w:t>
      </w:r>
      <w:r>
        <w:rPr>
          <w:rStyle w:val="VerbatimChar"/>
        </w:rPr>
        <w:t xml:space="preserve">docs/testing/ux_accessibility.md</w:t>
      </w:r>
      <w:r>
        <w:t xml:space="preserve"> </w:t>
      </w:r>
      <w:r>
        <w:t xml:space="preserve">mapping coverage directly against this item’s three named criteria (WCAG</w:t>
      </w:r>
      <w:r>
        <w:t xml:space="preserve"> </w:t>
      </w:r>
      <w:r>
        <w:t xml:space="preserve">checks, keyboard-nav coverage, screen-reader labeling).</w:t>
      </w:r>
    </w:p>
    <w:p>
      <w:pPr>
        <w:pStyle w:val="BodyText"/>
      </w:pPr>
      <w:r>
        <w:t xml:space="preserve">Re-verified independently by the conductor:</w:t>
      </w:r>
    </w:p>
    <w:p>
      <w:pPr>
        <w:pStyle w:val="SourceCode"/>
      </w:pPr>
      <w:r>
        <w:rPr>
          <w:rStyle w:val="VerbatimChar"/>
        </w:rPr>
        <w:t xml:space="preserve">$ ls tests/ux/</w:t>
      </w:r>
      <w:r>
        <w:br/>
      </w:r>
      <w:r>
        <w:rPr>
          <w:rStyle w:val="VerbatimChar"/>
        </w:rPr>
        <w:t xml:space="preserve">__init__.py  conftest.py  test_accessibility_axe.py  test_keyboard_navigation.py</w:t>
      </w:r>
    </w:p>
    <w:p>
      <w:pPr>
        <w:pStyle w:val="FirstParagraph"/>
      </w:pPr>
      <w:r>
        <w:t xml:space="preserve">The suite’s first live run correctly found a REAL defect (21 WCAG AA</w:t>
      </w:r>
      <w:r>
        <w:t xml:space="preserve"> </w:t>
      </w:r>
      <w:r>
        <w:t xml:space="preserve">color-contrast violations) and did not silence it — that finding was</w:t>
      </w:r>
      <w:r>
        <w:t xml:space="preserve"> </w:t>
      </w:r>
      <w:r>
        <w:t xml:space="preserve">spun into its own item, BOB-164, which is independently already closed:</w:t>
      </w:r>
    </w:p>
    <w:p>
      <w:pPr>
        <w:pStyle w:val="SourceCode"/>
      </w:pPr>
      <w:r>
        <w:rPr>
          <w:rStyle w:val="VerbatimChar"/>
        </w:rPr>
        <w:t xml:space="preserve">$ sqlite3 docs/workable_items.db "SELECT atm_id, status FROM items WHERE atm_id='BOB-164';"</w:t>
      </w:r>
      <w:r>
        <w:br/>
      </w:r>
      <w:r>
        <w:rPr>
          <w:rStyle w:val="VerbatimChar"/>
        </w:rPr>
        <w:t xml:space="preserve">BOB-164|Fixed (→ Fixed.md)</w:t>
      </w:r>
    </w:p>
    <w:p>
      <w:pPr>
        <w:pStyle w:val="FirstParagraph"/>
      </w:pPr>
      <w:r>
        <w:t xml:space="preserve">Full investigation:</w:t>
      </w:r>
      <w:r>
        <w:t xml:space="preserve"> </w:t>
      </w:r>
      <w:r>
        <w:rPr>
          <w:rStyle w:val="VerbatimChar"/>
        </w:rPr>
        <w:t xml:space="preserve">docs/qa/BOB-238/investigation_20260925.md</w:t>
      </w:r>
      <w:r>
        <w:t xml:space="preserve">.</w:t>
      </w:r>
    </w:p>
    <w:p>
      <w:pPr>
        <w:pStyle w:val="BodyText"/>
      </w:pPr>
      <w:r>
        <w:t xml:space="preserve">Classification: project-specific (§11.4.17) — no constitution change.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2026-09-25T10:16:36Z</dcterms:created>
  <dcterms:modified xsi:type="dcterms:W3CDTF">2026-09-25T10:16:36Z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