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4834f1d51774a51de6fd2c8cf0cee64d9f3483"/>
    <w:p>
      <w:pPr>
        <w:pStyle w:val="Heading1"/>
      </w:pPr>
      <w:r>
        <w:t xml:space="preserve">BOB-238 investigation — verdicts for BOB-088 / BOB-106 / BOB-110 / BOB-159 / BOB-162 against commit 7b45113</w:t>
      </w:r>
    </w:p>
    <w:p>
      <w:pPr>
        <w:pStyle w:val="FirstParagraph"/>
      </w:pPr>
      <w:r>
        <w:rPr>
          <w:b/>
          <w:bCs/>
        </w:rPr>
        <w:t xml:space="preserve">Investigation 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Investigated commit:</w:t>
      </w:r>
      <w:r>
        <w:t xml:space="preserve"> </w:t>
      </w:r>
      <w:r>
        <w:rPr>
          <w:rStyle w:val="VerbatimChar"/>
        </w:rPr>
        <w:t xml:space="preserve">7b45113c6b03524d9c799bdd68496ec202575e4c</w:t>
      </w:r>
      <w:r>
        <w:t xml:space="preserve"> </w:t>
      </w:r>
      <w:r>
        <w:t xml:space="preserve">(2026-08-21T21:56:22+02:00,</w:t>
      </w:r>
      <w:r>
        <w:t xml:space="preserve"> </w:t>
      </w:r>
      <w:r>
        <w:t xml:space="preserve">“fix(002,T041): close the review’s 5 IMPORTANT + 7 MINOR findings, and three defects nobody had reported”</w:t>
      </w:r>
      <w:r>
        <w:t xml:space="preserve">)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git show 7b45113c6b03524d9c799bdd68496ec202575e4c --stat</w:t>
      </w:r>
      <w:r>
        <w:t xml:space="preserve"> </w:t>
      </w:r>
      <w:r>
        <w:t xml:space="preserve">for the touched-file list, then</w:t>
      </w:r>
      <w:r>
        <w:t xml:space="preserve"> </w:t>
      </w:r>
      <w:r>
        <w:rPr>
          <w:rStyle w:val="VerbatimChar"/>
        </w:rPr>
        <w:t xml:space="preserve">git show 7b45113c6b03524d9c799bdd68496ec202575e4c -- &lt;file&gt;</w:t>
      </w:r>
      <w:r>
        <w:t xml:space="preserve"> </w:t>
      </w:r>
      <w:r>
        <w:t xml:space="preserve">for each item’s own scope, cross-referenced</w:t>
      </w:r>
      <w:r>
        <w:t xml:space="preserve"> </w:t>
      </w:r>
      <w:r>
        <w:t xml:space="preserve">against each item’s current full text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. No source, test, config, or</w:t>
      </w:r>
      <w:r>
        <w:t xml:space="preserve"> </w:t>
      </w:r>
      <w:r>
        <w:t xml:space="preserve">DB file was modified during this investigation — pure read-only</w:t>
      </w:r>
      <w:r>
        <w:t xml:space="preserve"> </w:t>
      </w:r>
      <w:r>
        <w:rPr>
          <w:rStyle w:val="VerbatimChar"/>
        </w:rPr>
        <w:t xml:space="preserve">git show</w:t>
      </w:r>
      <w:r>
        <w:t xml:space="preserve">/</w:t>
      </w:r>
      <w:r>
        <w:rPr>
          <w:rStyle w:val="VerbatimChar"/>
        </w:rPr>
        <w:t xml:space="preserve">grep</w:t>
      </w:r>
      <w:r>
        <w:t xml:space="preserve">/</w:t>
      </w:r>
      <w:r>
        <w:rPr>
          <w:rStyle w:val="VerbatimChar"/>
        </w:rPr>
        <w:t xml:space="preserve">sed</w:t>
      </w:r>
      <w:r>
        <w:t xml:space="preserve"> </w:t>
      </w:r>
      <w:r>
        <w:t xml:space="preserve">against the tree.</w:t>
      </w:r>
    </w:p>
    <w:p>
      <w:pPr>
        <w:pStyle w:val="BodyText"/>
      </w:pPr>
      <w:r>
        <w:t xml:space="preserve">Scope note: BOB-107 and BOB-114 were already confirmed case (a) by the conductor before this dispatch</w:t>
      </w:r>
      <w:r>
        <w:t xml:space="preserve"> </w:t>
      </w:r>
      <w:r>
        <w:t xml:space="preserve">(cited in BOB-238’s own body) — not re-investigated here. This report covers the 5 remaining UNVERIFIED ids.</w:t>
      </w:r>
    </w:p>
    <w:p>
      <w:r>
        <w:pict>
          <v:rect style="width:0;height:1.5pt" o:hralign="center" o:hrstd="t" o:hr="t"/>
        </w:pict>
      </w:r>
    </w:p>
    <w:bookmarkStart w:id="9" w:name="Xb1362b62753d4fa29fc22952bf12381516f5481"/>
    <w:p>
      <w:pPr>
        <w:pStyle w:val="Heading2"/>
      </w:pPr>
      <w:r>
        <w:t xml:space="preserve">BOB-088 —</w:t>
      </w:r>
      <w:r>
        <w:t xml:space="preserve"> </w:t>
      </w:r>
      <w:r>
        <w:t xml:space="preserve">“RD2-21: Complete/verify README Tracked-Items + Status Documents table row-completeness”</w:t>
      </w:r>
    </w:p>
    <w:p>
      <w:pPr>
        <w:pStyle w:val="FirstParagraph"/>
      </w:pPr>
      <w:r>
        <w:rPr>
          <w:b/>
          <w:bCs/>
        </w:rPr>
        <w:t xml:space="preserve">Verdict: (a) — the commit already closes it.</w:t>
      </w:r>
    </w:p>
    <w:p>
      <w:pPr>
        <w:pStyle w:val="BodyText"/>
      </w:pPr>
      <w:r>
        <w:rPr>
          <w:b/>
          <w:bCs/>
        </w:rPr>
        <w:t xml:space="preserve">Item’s stated acceptance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docs/Issues.md</w:t>
      </w:r>
      <w:r>
        <w:rPr>
          <w:b/>
          <w:bCs/>
        </w:rPr>
        <w:t xml:space="preserve">):</w:t>
      </w:r>
      <w:r>
        <w:t xml:space="preserve"> </w:t>
      </w:r>
      <w:r>
        <w:t xml:space="preserve">“Complete/verify the README Tracked-Items +</w:t>
      </w:r>
      <w:r>
        <w:t xml:space="preserve"> </w:t>
      </w:r>
      <w:r>
        <w:t xml:space="preserve">Status Documents table row-completeness (GA-07 remaining half). Not independently re-verified this round</w:t>
      </w:r>
      <w:r>
        <w:t xml:space="preserve"> </w:t>
      </w:r>
      <w:r>
        <w:t xml:space="preserve">whether every mandated doc (CONTINUATION.md, Issues.md, Fixed.md, PORTING-FROM-LAVA.md, both new GA/RD2</w:t>
      </w:r>
      <w:r>
        <w:t xml:space="preserve"> </w:t>
      </w:r>
      <w:r>
        <w:t xml:space="preserve">audit docs, every Status.md/Status_Summary.md pair) actually has a row.”</w:t>
      </w:r>
    </w:p>
    <w:p>
      <w:pPr>
        <w:pStyle w:val="BodyText"/>
      </w:pPr>
      <w:r>
        <w:rPr>
          <w:b/>
          <w:bCs/>
        </w:rPr>
        <w:t xml:space="preserve">Citing evidence: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show 7b45113 --stat</w:t>
      </w:r>
      <w:r>
        <w:t xml:space="preserve"> </w:t>
      </w:r>
      <w:r>
        <w:t xml:space="preserve">shows a brand-new, executable generator script</w:t>
      </w:r>
      <w:r>
        <w:t xml:space="preserve"> </w:t>
      </w:r>
      <w:r>
        <w:rPr>
          <w:rStyle w:val="VerbatimChar"/>
        </w:rPr>
        <w:t xml:space="preserve">scripts/testing/update_readme_doc_links.sh</w:t>
      </w:r>
      <w:r>
        <w:t xml:space="preserve"> </w:t>
      </w:r>
      <w:r>
        <w:t xml:space="preserve">(259 lines,</w:t>
      </w:r>
      <w:r>
        <w:t xml:space="preserve"> </w:t>
      </w:r>
      <w:r>
        <w:rPr>
          <w:rStyle w:val="VerbatimChar"/>
        </w:rPr>
        <w:t xml:space="preserve">new file mode 100755</w:t>
      </w:r>
      <w:r>
        <w:t xml:space="preserve">), plus its §11.4.18</w:t>
      </w:r>
      <w:r>
        <w:t xml:space="preserve"> </w:t>
      </w:r>
      <w:r>
        <w:t xml:space="preserve">companion doc</w:t>
      </w:r>
      <w:r>
        <w:t xml:space="preserve"> </w:t>
      </w:r>
      <w:r>
        <w:rPr>
          <w:rStyle w:val="VerbatimChar"/>
        </w:rPr>
        <w:t xml:space="preserve">docs/scripts/update_readme_doc_links.md</w:t>
      </w:r>
      <w:r>
        <w:t xml:space="preserve"> </w:t>
      </w:r>
      <w:r>
        <w:t xml:space="preserve">(114 lines, new) and a regression test</w:t>
      </w:r>
      <w:r>
        <w:t xml:space="preserve"> </w:t>
      </w:r>
      <w:r>
        <w:rPr>
          <w:rStyle w:val="VerbatimChar"/>
        </w:rPr>
        <w:t xml:space="preserve">tests/unit/test_update_readme_doc_links_no_duplication.sh</w:t>
      </w:r>
      <w:r>
        <w:t xml:space="preserve"> </w:t>
      </w:r>
      <w:r>
        <w:t xml:space="preserve">(133 lines, new).</w:t>
      </w:r>
    </w:p>
    <w:p>
      <w:pPr>
        <w:numPr>
          <w:ilvl w:val="0"/>
          <w:numId w:val="1001"/>
        </w:numPr>
      </w:pPr>
      <w:r>
        <w:t xml:space="preserve">The generator script’s own in-source header states verbatim (diff of</w:t>
      </w:r>
      <w:r>
        <w:t xml:space="preserve"> </w:t>
      </w:r>
      <w:r>
        <w:rPr>
          <w:rStyle w:val="VerbatimChar"/>
        </w:rPr>
        <w:t xml:space="preserve">scripts/testing/update_readme_doc_links.sh</w:t>
      </w:r>
      <w: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# tracked file itself in THIS invocation; a table cell is never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# hand-typed or assumed correct because it "looked right last time"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# (§11.4.6).</w:t>
      </w:r>
      <w:r>
        <w:t xml:space="preserve"> </w:t>
      </w:r>
      <w:r>
        <w:t xml:space="preserve">&gt; and its cross-reference block: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# Cross-references: docs/scripts/update_readme_doc_links.md (§11.4.18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#   companion), CLAUDE.md / constitution/CLAUDE.md §11.4.57 (the mandate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#   this script implements), BOB-088 (the tracked item this script closes).</w:t>
      </w:r>
    </w:p>
    <w:p>
      <w:pPr>
        <w:numPr>
          <w:ilvl w:val="0"/>
          <w:numId w:val="1001"/>
        </w:numPr>
      </w:pPr>
      <w:r>
        <w:t xml:space="preserve">The companion doc</w:t>
      </w:r>
      <w:r>
        <w:t xml:space="preserve"> </w:t>
      </w:r>
      <w:r>
        <w:rPr>
          <w:rStyle w:val="VerbatimChar"/>
        </w:rPr>
        <w:t xml:space="preserve">docs/scripts/update_readme_doc_links.md</w:t>
      </w:r>
      <w:r>
        <w:t xml:space="preserve"> </w:t>
      </w:r>
      <w:r>
        <w:t xml:space="preserve">(new file, this commit) states the exact</w:t>
      </w:r>
      <w:r>
        <w:t xml:space="preserve"> </w:t>
      </w:r>
      <w:r>
        <w:t xml:space="preserve">measured drift BOB-088’s acceptance text asks about, and names its own closing effect verbatim:</w:t>
      </w:r>
      <w:r>
        <w:t xml:space="preserve"> </w:t>
      </w:r>
      <w:r>
        <w:t xml:space="preserve">&gt;</w:t>
      </w:r>
      <w:r>
        <w:t xml:space="preserve"> </w:t>
      </w:r>
      <w:r>
        <w:t xml:space="preserve">“Before this script existed, that table was hand-maintained, and it had drifted: measured</w:t>
      </w:r>
      <w:r>
        <w:t xml:space="preserve"> </w:t>
      </w:r>
      <w:r>
        <w:t xml:space="preserve">&gt; 2026-08-21 (BOB-088), 10 of its 18 rows carried a stale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/</w:t>
      </w:r>
      <w:r>
        <w:rPr>
          <w:rStyle w:val="VerbatimChar"/>
        </w:rPr>
        <w:t xml:space="preserve">Last modified</w:t>
      </w:r>
      <w:r>
        <w:t xml:space="preserve"> </w:t>
      </w:r>
      <w:r>
        <w:t xml:space="preserve">pair … two</w:t>
      </w:r>
      <w:r>
        <w:t xml:space="preserve"> </w:t>
      </w:r>
      <w:r>
        <w:t xml:space="preserve">&gt; rows read</w:t>
      </w:r>
      <w:r>
        <w:t xml:space="preserve"> </w:t>
      </w:r>
      <w:r>
        <w:rPr>
          <w:rStyle w:val="VerbatimChar"/>
        </w:rPr>
        <w:t xml:space="preserve">— (not yet exported)</w:t>
      </w:r>
      <w:r>
        <w:t xml:space="preserve"> </w:t>
      </w:r>
      <w:r>
        <w:t xml:space="preserve">for HTML/PDF cells that had real exports on disk, and one</w:t>
      </w:r>
      <w:r>
        <w:t xml:space="preserve"> </w:t>
      </w:r>
      <w:r>
        <w:t xml:space="preserve">&gt; MANDATED document (</w:t>
      </w:r>
      <w:r>
        <w:rPr>
          <w:rStyle w:val="VerbatimChar"/>
        </w:rPr>
        <w:t xml:space="preserve">docs/GOVERNANCE_AUDIT_2026-08-08_ROUND2.md</w:t>
      </w:r>
      <w:r>
        <w:t xml:space="preserve">, cited by name in BOB-088’s own</w:t>
      </w:r>
      <w:r>
        <w:t xml:space="preserve"> </w:t>
      </w:r>
      <w:r>
        <w:t xml:space="preserve">&gt; body text) had no row at all.”</w:t>
      </w:r>
      <w:r>
        <w:t xml:space="preserve"> </w:t>
      </w:r>
      <w:r>
        <w:t xml:space="preserve">&gt; …</w:t>
      </w:r>
      <w:r>
        <w:t xml:space="preserve"> </w:t>
      </w:r>
      <w:r>
        <w:t xml:space="preserve">“Cross-references: … BOB-088 — the tracked workable item this script closes.”</w:t>
      </w:r>
    </w:p>
    <w:p>
      <w:pPr>
        <w:numPr>
          <w:ilvl w:val="0"/>
          <w:numId w:val="1001"/>
        </w:numPr>
      </w:pPr>
      <w:r>
        <w:t xml:space="preserve">The diff of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itself is direct evidence the table was actually regenerated and completed</w:t>
      </w:r>
      <w:r>
        <w:t xml:space="preserve"> </w:t>
      </w:r>
      <w:r>
        <w:t xml:space="preserve">in this same commit — not just scripted for later use: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PORTING-FROM-LAVA</w:t>
      </w:r>
      <w:r>
        <w:t xml:space="preserve"> </w:t>
      </w:r>
      <w:r>
        <w:t xml:space="preserve">row: HTML/PDF cells flip from</w:t>
      </w:r>
      <w:r>
        <w:t xml:space="preserve"> </w:t>
      </w:r>
      <w:r>
        <w:rPr>
          <w:rStyle w:val="VerbatimChar"/>
        </w:rPr>
        <w:t xml:space="preserve">— (not yet exported)</w:t>
      </w:r>
      <w:r>
        <w:t xml:space="preserve"> </w:t>
      </w:r>
      <w:r>
        <w:t xml:space="preserve">to real links</w:t>
      </w:r>
      <w:r>
        <w:t xml:space="preserve"> </w:t>
      </w:r>
      <w:r>
        <w:t xml:space="preserve">(</w:t>
      </w:r>
      <w:r>
        <w:rPr>
          <w:rStyle w:val="VerbatimChar"/>
        </w:rPr>
        <w:t xml:space="preserve">[HTML](docs/PORTING-FROM-LAVA.html)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[PDF](docs/PORTING-FROM-LAVA.pdf)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GOVERNANCE_AUDIT_2026-08-07</w:t>
      </w:r>
      <w:r>
        <w:t xml:space="preserve"> </w:t>
      </w:r>
      <w:r>
        <w:t xml:space="preserve">row: HTML/PDF cells flip from</w:t>
      </w:r>
      <w:r>
        <w:t xml:space="preserve"> </w:t>
      </w:r>
      <w:r>
        <w:rPr>
          <w:rStyle w:val="VerbatimChar"/>
        </w:rPr>
        <w:t xml:space="preserve">— (not yet exported)</w:t>
      </w:r>
      <w:r>
        <w:t xml:space="preserve"> </w:t>
      </w:r>
      <w:r>
        <w:t xml:space="preserve">to real links.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GOVERNANCE_AUDIT_2026-08-08_ROUND2</w:t>
      </w:r>
      <w:r>
        <w:t xml:space="preserve"> </w:t>
      </w:r>
      <w:r>
        <w:t xml:space="preserve">— the item literally named as missing in BOB-088’s own</w:t>
      </w:r>
      <w:r>
        <w:t xml:space="preserve"> </w:t>
      </w:r>
      <w:r>
        <w:t xml:space="preserve">acceptance text (</w:t>
      </w:r>
      <w:r>
        <w:t xml:space="preserve">“both new GA/RD2 audit docs”</w:t>
      </w:r>
      <w:r>
        <w:t xml:space="preserve">) — appears as a brand-new row for the first time:</w:t>
      </w:r>
      <w:r>
        <w:t xml:space="preserve"> </w:t>
      </w:r>
      <w:r>
        <w:rPr>
          <w:rStyle w:val="VerbatimChar"/>
        </w:rPr>
        <w:t xml:space="preserve">| GOVERNANCE_AUDIT_2026-08-08_ROUND2 | 2026-08-09T12:54:30Z | 6 | ... |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Issues</w:t>
      </w:r>
      <w:r>
        <w:t xml:space="preserve"> </w:t>
      </w:r>
      <w:r>
        <w:t xml:space="preserve">row’s Revision cell corrects from stale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to live</w:t>
      </w:r>
      <w:r>
        <w:t xml:space="preserve"> </w:t>
      </w:r>
      <w:r>
        <w:rPr>
          <w:rStyle w:val="VerbatimChar"/>
        </w:rPr>
        <w:t xml:space="preserve">40</w:t>
      </w:r>
      <w:r>
        <w:t xml:space="preserve">;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corrects from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25</w:t>
      </w:r>
      <w:r>
        <w:t xml:space="preserve">; every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/</w:t>
      </w:r>
      <w:r>
        <w:rPr>
          <w:rStyle w:val="VerbatimChar"/>
        </w:rPr>
        <w:t xml:space="preserve">Status_Summary.md</w:t>
      </w:r>
      <w:r>
        <w:t xml:space="preserve"> </w:t>
      </w:r>
      <w:r>
        <w:t xml:space="preserve">pair present in the pre-commit table is present and</w:t>
      </w:r>
      <w:r>
        <w:t xml:space="preserve"> </w:t>
      </w:r>
      <w:r>
        <w:t xml:space="preserve">current post-commit.</w:t>
      </w:r>
    </w:p>
    <w:p>
      <w:pPr>
        <w:pStyle w:val="Compact"/>
        <w:numPr>
          <w:ilvl w:val="1"/>
          <w:numId w:val="1002"/>
        </w:numPr>
      </w:pPr>
      <w:r>
        <w:t xml:space="preserve">The table is now bounded by machine-generated markers (</w:t>
      </w:r>
      <w:r>
        <w:rPr>
          <w:rStyle w:val="VerbatimChar"/>
        </w:rPr>
        <w:t xml:space="preserve">&lt;!-- doc-link-section:begin --&gt;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&lt;!-- doc-link-section:end --&gt;</w:t>
      </w:r>
      <w:r>
        <w:t xml:space="preserve">) with a note directly above it reading</w:t>
      </w:r>
      <w:r>
        <w:t xml:space="preserve"> </w:t>
      </w:r>
      <w:r>
        <w:t xml:space="preserve">“Regenerated by</w:t>
      </w:r>
      <w:r>
        <w:t xml:space="preserve"> </w:t>
      </w:r>
      <w:r>
        <w:rPr>
          <w:rStyle w:val="VerbatimChar"/>
        </w:rPr>
        <w:t xml:space="preserve">scripts/testing/update_readme_doc_links.sh</w:t>
      </w:r>
      <w:r>
        <w:t xml:space="preserve"> </w:t>
      </w:r>
      <w:r>
        <w:t xml:space="preserve">— never hand-typed (§11.4.57).”</w:t>
      </w:r>
    </w:p>
    <w:p>
      <w:pPr>
        <w:numPr>
          <w:ilvl w:val="0"/>
          <w:numId w:val="1001"/>
        </w:numPr>
      </w:pPr>
      <w:r>
        <w:t xml:space="preserve">Anti-bluff proof cited in the same companion doc:</w:t>
      </w:r>
      <w:r>
        <w:t xml:space="preserve"> </w:t>
      </w:r>
      <w:r>
        <w:t xml:space="preserve">“</w:t>
      </w:r>
      <w:r>
        <w:rPr>
          <w:rStyle w:val="VerbatimChar"/>
        </w:rPr>
        <w:t xml:space="preserve">tests/unit/test_update_readme_doc_links_no_duplication.sh</w:t>
      </w:r>
      <w:r>
        <w:t xml:space="preserve"> </w:t>
      </w:r>
      <w:r>
        <w:t xml:space="preserve">… run against the pre-fix script and confirmed to fail 3/5 assertions before the fix, then pass 5/5</w:t>
      </w:r>
      <w:r>
        <w:t xml:space="preserve"> </w:t>
      </w:r>
      <w:r>
        <w:t xml:space="preserve">after”</w:t>
      </w:r>
      <w:r>
        <w:t xml:space="preserve"> </w:t>
      </w:r>
      <w:r>
        <w:t xml:space="preserve">— a real RED→GREEN pair, not a claimed-only fix.</w:t>
      </w:r>
    </w:p>
    <w:p>
      <w:pPr>
        <w:pStyle w:val="FirstParagraph"/>
      </w:pPr>
      <w:r>
        <w:rPr>
          <w:b/>
          <w:bCs/>
        </w:rPr>
        <w:t xml:space="preserve">Assumption:</w:t>
      </w:r>
      <w:r>
        <w:t xml:space="preserve"> </w:t>
      </w:r>
      <w:r>
        <w:t xml:space="preserve">BOB-088’s acceptance text does not literally use the word</w:t>
      </w:r>
      <w:r>
        <w:t xml:space="preserve"> </w:t>
      </w:r>
      <w:r>
        <w:t xml:space="preserve">“close”</w:t>
      </w:r>
      <w:r>
        <w:t xml:space="preserve">; it asks to</w:t>
      </w:r>
      <w:r>
        <w:t xml:space="preserve"> </w:t>
      </w:r>
      <w:r>
        <w:t xml:space="preserve">“complete/verify”</w:t>
      </w:r>
      <w:r>
        <w:t xml:space="preserve"> </w:t>
      </w:r>
      <w:r>
        <w:t xml:space="preserve">the table. I read the generator’s own explicit self-citation (</w:t>
      </w:r>
      <w:r>
        <w:t xml:space="preserve">“the tracked item this</w:t>
      </w:r>
      <w:r>
        <w:t xml:space="preserve"> </w:t>
      </w:r>
      <w:r>
        <w:t xml:space="preserve">script closes”</w:t>
      </w:r>
      <w:r>
        <w:t xml:space="preserve">) plus the concrete before/after diff evidence (every explicitly-named gap in BOB-088’s</w:t>
      </w:r>
      <w:r>
        <w:t xml:space="preserve"> </w:t>
      </w:r>
      <w:r>
        <w:t xml:space="preserve">body text is filled) as jointly satisfying that acceptance. The commit message’s separate claim of an</w:t>
      </w:r>
      <w:r>
        <w:t xml:space="preserve"> </w:t>
      </w:r>
      <w:r>
        <w:t xml:space="preserve">“orphan sweep [that] went 96 orphans of 305 tracked docs -&gt; 0/305”</w:t>
      </w:r>
      <w:r>
        <w:t xml:space="preserve"> </w:t>
      </w:r>
      <w:r>
        <w:t xml:space="preserve">could not be independently located as</w:t>
      </w:r>
      <w:r>
        <w:t xml:space="preserve"> </w:t>
      </w:r>
      <w:r>
        <w:t xml:space="preserve">a discrete artifact in this diff (no</w:t>
      </w:r>
      <w:r>
        <w:t xml:space="preserve"> </w:t>
      </w:r>
      <w:r>
        <w:rPr>
          <w:rStyle w:val="VerbatimChar"/>
        </w:rPr>
        <w:t xml:space="preserve">orphan</w:t>
      </w:r>
      <w:r>
        <w:t xml:space="preserve"> </w:t>
      </w:r>
      <w:r>
        <w:t xml:space="preserve">count is printed by</w:t>
      </w:r>
      <w:r>
        <w:t xml:space="preserve"> </w:t>
      </w:r>
      <w:r>
        <w:rPr>
          <w:rStyle w:val="VerbatimChar"/>
        </w:rPr>
        <w:t xml:space="preserve">update_readme_doc_links.sh</w:t>
      </w:r>
      <w:r>
        <w:t xml:space="preserve"> </w:t>
      </w:r>
      <w:r>
        <w:t xml:space="preserve">itself,</w:t>
      </w:r>
      <w:r>
        <w:t xml:space="preserve"> </w:t>
      </w:r>
      <w:r>
        <w:t xml:space="preserve">whose own doc describes its scope as deliberately narrower than the full §11.4.212 reachability</w:t>
      </w:r>
      <w:r>
        <w:t xml:space="preserve"> </w:t>
      </w:r>
      <w:r>
        <w:t xml:space="preserve">obligation) — I treat that specific</w:t>
      </w:r>
      <w:r>
        <w:t xml:space="preserve"> </w:t>
      </w:r>
      <w:r>
        <w:t xml:space="preserve">“96→0/305”</w:t>
      </w:r>
      <w:r>
        <w:t xml:space="preserve"> </w:t>
      </w:r>
      <w:r>
        <w:t xml:space="preserve">figure as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on its own, but it does not</w:t>
      </w:r>
      <w:r>
        <w:t xml:space="preserve"> </w:t>
      </w:r>
      <w:r>
        <w:t xml:space="preserve">change BOB-088’s own verdict, since BOB-088’s acceptance text is about the Tracked-Items table</w:t>
      </w:r>
      <w:r>
        <w:t xml:space="preserve"> </w:t>
      </w:r>
      <w:r>
        <w:t xml:space="preserve">specifically, and that is fully, concretely closed by the evidence above.</w:t>
      </w:r>
    </w:p>
    <w:p>
      <w:r>
        <w:pict>
          <v:rect style="width:0;height:1.5pt" o:hralign="center" o:hrstd="t" o:hr="t"/>
        </w:pict>
      </w:r>
    </w:p>
    <w:bookmarkEnd w:id="9"/>
    <w:bookmarkStart w:id="10" w:name="Xe96ad592ab1cd357560854e553714ea49d501fd"/>
    <w:p>
      <w:pPr>
        <w:pStyle w:val="Heading2"/>
      </w:pPr>
      <w:r>
        <w:t xml:space="preserve">BOB-106 —</w:t>
      </w:r>
      <w:r>
        <w:t xml:space="preserve"> </w:t>
      </w:r>
      <w:r>
        <w:t xml:space="preserve">“§11.4.238 followup: §11.4.84 quiescence-check helper for the unattributed auto-commit path”</w:t>
      </w:r>
    </w:p>
    <w:p>
      <w:pPr>
        <w:pStyle w:val="FirstParagraph"/>
      </w:pPr>
      <w:r>
        <w:rPr>
          <w:b/>
          <w:bCs/>
        </w:rPr>
        <w:t xml:space="preserve">Verdict: (b) — the commit partially addresses it.</w:t>
      </w:r>
    </w:p>
    <w:p>
      <w:pPr>
        <w:pStyle w:val="BodyText"/>
      </w:pPr>
      <w:r>
        <w:rPr>
          <w:b/>
          <w:bCs/>
        </w:rPr>
        <w:t xml:space="preserve">Item’s stated acceptance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docs/Issues.md</w:t>
      </w:r>
      <w:r>
        <w:rPr>
          <w:b/>
          <w:bCs/>
        </w:rPr>
        <w:t xml:space="preserve">):</w:t>
      </w:r>
      <w:r>
        <w:t xml:space="preserve"> </w:t>
      </w:r>
      <w:r>
        <w:t xml:space="preserve">“Author a §11.4.84 quiescence-check helper (e.g.</w:t>
      </w:r>
      <w:r>
        <w:t xml:space="preserve"> </w:t>
      </w:r>
      <w:r>
        <w:rPr>
          <w:rStyle w:val="VerbatimChar"/>
        </w:rPr>
        <w:t xml:space="preserve">challenges/scripts/no_unattributed_autocommit_challenge.sh</w:t>
      </w:r>
      <w:r>
        <w:t xml:space="preserve">) that scans the commit range since the last</w:t>
      </w:r>
      <w:r>
        <w:t xml:space="preserve"> </w:t>
      </w:r>
      <w:r>
        <w:t xml:space="preserve">known-good release tag and FAILs on any commit message matching a closed bare/templated pattern …</w:t>
      </w:r>
      <w:r>
        <w:t xml:space="preserve"> </w:t>
      </w:r>
      <w:r>
        <w:rPr>
          <w:b/>
          <w:bCs/>
        </w:rPr>
        <w:t xml:space="preserve">wired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scripts/pre_build_verification.sh</w:t>
      </w:r>
      <w:r>
        <w:rPr>
          <w:b/>
          <w:bCs/>
        </w:rPr>
        <w:t xml:space="preserve"> </w:t>
      </w:r>
      <w:r>
        <w:rPr>
          <w:b/>
          <w:bCs/>
        </w:rPr>
        <w:t xml:space="preserve">or the §11.4.234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commit-push-all.sh</w:t>
      </w:r>
      <w:r>
        <w:rPr>
          <w:b/>
          <w:bCs/>
        </w:rPr>
        <w:t xml:space="preserve"> </w:t>
      </w:r>
      <w:r>
        <w:rPr>
          <w:b/>
          <w:bCs/>
        </w:rPr>
        <w:t xml:space="preserve">entrypoint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What landed (real progress):</w:t>
      </w:r>
    </w:p>
    <w:p>
      <w:pPr>
        <w:pStyle w:val="Compact"/>
        <w:numPr>
          <w:ilvl w:val="0"/>
          <w:numId w:val="1003"/>
        </w:numPr>
      </w:pPr>
      <w:r>
        <w:t xml:space="preserve">New executable guard</w:t>
      </w:r>
      <w:r>
        <w:t xml:space="preserve"> </w:t>
      </w:r>
      <w:r>
        <w:rPr>
          <w:rStyle w:val="VerbatimChar"/>
        </w:rPr>
        <w:t xml:space="preserve">scripts/hooks/unattributed-commit-guard.sh</w:t>
      </w:r>
      <w:r>
        <w:t xml:space="preserve"> </w:t>
      </w:r>
      <w:r>
        <w:t xml:space="preserve">(237 lines, new file), which</w:t>
      </w:r>
      <w:r>
        <w:t xml:space="preserve"> </w:t>
      </w:r>
      <w:r>
        <w:t xml:space="preserve">implements exactly the described check: closed bare/templated pattern set (</w:t>
      </w:r>
      <w:r>
        <w:rPr>
          <w:rStyle w:val="VerbatimChar"/>
        </w:rPr>
        <w:t xml:space="preserve">^Auto-commit$</w:t>
      </w:r>
      <w:r>
        <w:t xml:space="preserve">,</w:t>
      </w:r>
      <w:r>
        <w:t xml:space="preserve"> </w:t>
      </w:r>
      <w:r>
        <w:rPr>
          <w:rStyle w:val="VerbatimChar"/>
        </w:rPr>
        <w:t xml:space="preserve">^sync:[[:space:]]</w:t>
      </w:r>
      <w:r>
        <w:t xml:space="preserve">), structure-not-substring matching (§11.4.201(7)(a)), a ticket/task-PR reference</w:t>
      </w:r>
      <w:r>
        <w:t xml:space="preserve"> </w:t>
      </w:r>
      <w:r>
        <w:t xml:space="preserve">exemption, and a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 </w:t>
      </w:r>
      <w:r>
        <w:t xml:space="preserve">mode implementing §11.4.107(10) golden-good/golden-bad/false-positive</w:t>
      </w:r>
      <w:r>
        <w:t xml:space="preserve"> </w:t>
      </w:r>
      <w:r>
        <w:t xml:space="preserve">self-validation.</w:t>
      </w:r>
    </w:p>
    <w:p>
      <w:pPr>
        <w:pStyle w:val="Compact"/>
        <w:numPr>
          <w:ilvl w:val="0"/>
          <w:numId w:val="1003"/>
        </w:numPr>
      </w:pPr>
      <w:r>
        <w:t xml:space="preserve">Companion doc</w:t>
      </w:r>
      <w:r>
        <w:t xml:space="preserve"> </w:t>
      </w:r>
      <w:r>
        <w:rPr>
          <w:rStyle w:val="VerbatimChar"/>
        </w:rPr>
        <w:t xml:space="preserve">docs/scripts/unattributed-commit-guard.md</w:t>
      </w:r>
      <w:r>
        <w:t xml:space="preserve"> </w:t>
      </w:r>
      <w:r>
        <w:t xml:space="preserve">(new, 82 lines) and hermetic executing test</w:t>
      </w:r>
      <w:r>
        <w:t xml:space="preserve"> </w:t>
      </w:r>
      <w:r>
        <w:rPr>
          <w:rStyle w:val="VerbatimChar"/>
        </w:rPr>
        <w:t xml:space="preserve">tests/hooks/test_unattributed_commit_guard.sh</w:t>
      </w:r>
      <w:r>
        <w:t xml:space="preserve"> </w:t>
      </w:r>
      <w:r>
        <w:t xml:space="preserve">(new, 140 lines) driving the REAL invocation path</w:t>
      </w:r>
      <w:r>
        <w:t xml:space="preserve"> </w:t>
      </w:r>
      <w:r>
        <w:t xml:space="preserve">(not a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parse check), with a documented paired §1.1 mutation.</w:t>
      </w:r>
    </w:p>
    <w:p>
      <w:pPr>
        <w:pStyle w:val="Compact"/>
        <w:numPr>
          <w:ilvl w:val="0"/>
          <w:numId w:val="1003"/>
        </w:numPr>
      </w:pPr>
      <w:r>
        <w:t xml:space="preserve">Real-history proof: run against this repo’s actual git log, the guard names the 14 unattributed</w:t>
      </w:r>
      <w:r>
        <w:t xml:space="preserve"> </w:t>
      </w:r>
      <w:r>
        <w:t xml:space="preserve">commits since the last tag exactly as the commit message claims (</w:t>
      </w:r>
      <w:r>
        <w:t xml:space="preserve">“BOB-106/107: two guards built. The</w:t>
      </w:r>
      <w:r>
        <w:t xml:space="preserve"> </w:t>
      </w:r>
      <w:r>
        <w:t xml:space="preserve">commit guard names 14 unattributed commits since the last tag”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What is missing (explicit, unmet acceptance clause — the wiring):</w:t>
      </w:r>
    </w:p>
    <w:p>
      <w:pPr>
        <w:pStyle w:val="BodyText"/>
      </w:pPr>
      <w:r>
        <w:t xml:space="preserve">The guard’s own in-source header states this verbatim, as a section literally titled</w:t>
      </w:r>
      <w:r>
        <w:t xml:space="preserve"> </w:t>
      </w:r>
      <w:r>
        <w:t xml:space="preserve">“WIRING (honest gap, §11.4.6)”</w:t>
      </w:r>
      <w:r>
        <w:t xml:space="preserve"> </w:t>
      </w:r>
      <w:r>
        <w:t xml:space="preserve">(diff of</w:t>
      </w:r>
      <w:r>
        <w:t xml:space="preserve"> </w:t>
      </w:r>
      <w:r>
        <w:rPr>
          <w:rStyle w:val="VerbatimChar"/>
        </w:rPr>
        <w:t xml:space="preserve">scripts/hooks/unattributed-commit-guard.sh</w:t>
      </w:r>
      <w:r>
        <w:t xml:space="preserve">):</w:t>
      </w:r>
    </w:p>
    <w:p>
      <w:pPr>
        <w:pStyle w:val="BlockText"/>
      </w:pPr>
      <w:r>
        <w:rPr>
          <w:rStyle w:val="VerbatimChar"/>
        </w:rPr>
        <w:t xml:space="preserve"># ─── WIRING (honest gap, §11.4.6) ───────────────────────────────────────</w:t>
      </w:r>
      <w:r>
        <w:t xml:space="preserve"> </w:t>
      </w:r>
      <w:r>
        <w:rPr>
          <w:rStyle w:val="VerbatimChar"/>
        </w:rPr>
        <w:t xml:space="preserve"># This script is NOT yet invoked from scripts/pre_build_verification.sh</w:t>
      </w:r>
      <w:r>
        <w:t xml:space="preserve"> </w:t>
      </w:r>
      <w:r>
        <w:rPr>
          <w:rStyle w:val="VerbatimChar"/>
        </w:rPr>
        <w:t xml:space="preserve"># or scripts/commit-push-all.sh (the two entry points the tracked item</w:t>
      </w:r>
      <w:r>
        <w:t xml:space="preserve"> </w:t>
      </w:r>
      <w:r>
        <w:rPr>
          <w:rStyle w:val="VerbatimChar"/>
        </w:rPr>
        <w:t xml:space="preserve"># names as candidates) — both are outside this authoring pass's granted</w:t>
      </w:r>
      <w:r>
        <w:t xml:space="preserve"> </w:t>
      </w:r>
      <w:r>
        <w:rPr>
          <w:rStyle w:val="VerbatimChar"/>
        </w:rPr>
        <w:t xml:space="preserve"># edit scope. Wiring it into one of those two seams remains OWED as the</w:t>
      </w:r>
      <w:r>
        <w:t xml:space="preserve"> </w:t>
      </w:r>
      <w:r>
        <w:rPr>
          <w:rStyle w:val="VerbatimChar"/>
        </w:rPr>
        <w:t xml:space="preserve"># item's closing step; see the BOB-106 tracker entry.</w:t>
      </w:r>
    </w:p>
    <w:p>
      <w:pPr>
        <w:pStyle w:val="FirstParagraph"/>
      </w:pPr>
      <w:r>
        <w:t xml:space="preserve">Cross-checked mechanically: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IS touched by this commit (164 lines</w:t>
      </w:r>
      <w:r>
        <w:t xml:space="preserve"> </w:t>
      </w:r>
      <w:r>
        <w:t xml:space="preserve">changed per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grep -n "unattributed-commit-guard.sh"</w:t>
      </w:r>
      <w:r>
        <w:t xml:space="preserve"> </w:t>
      </w:r>
      <w:r>
        <w:t xml:space="preserve">against the full commit diff</w:t>
      </w:r>
      <w:r>
        <w:t xml:space="preserve"> </w:t>
      </w:r>
      <w:r>
        <w:t xml:space="preserve">finds the string ONLY inside: the guard script itself, its</w:t>
      </w:r>
      <w:r>
        <w:t xml:space="preserve"> </w:t>
      </w:r>
      <w:r>
        <w:rPr>
          <w:rStyle w:val="VerbatimChar"/>
        </w:rPr>
        <w:t xml:space="preserve">docs/scripts/*.md</w:t>
      </w:r>
      <w:r>
        <w:t xml:space="preserve"> </w:t>
      </w:r>
      <w:r>
        <w:t xml:space="preserve">companion doc,</w:t>
      </w:r>
      <w:r>
        <w:t xml:space="preserve"> </w:t>
      </w:r>
      <w:r>
        <w:rPr>
          <w:rStyle w:val="VerbatimChar"/>
        </w:rPr>
        <w:t xml:space="preserve">tests/hooks/test_unattributed_commit_guard.sh</w:t>
      </w:r>
      <w:r>
        <w:t xml:space="preserve"> </w:t>
      </w:r>
      <w:r>
        <w:t xml:space="preserve">(a test that invokes the guard directly, not a</w:t>
      </w:r>
      <w:r>
        <w:t xml:space="preserve"> </w:t>
      </w:r>
      <w:r>
        <w:t xml:space="preserve">pre-build/commit seam), and — critically — inside the newly-added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text for the</w:t>
      </w:r>
      <w:r>
        <w:t xml:space="preserve"> </w:t>
      </w:r>
      <w:r>
        <w:rPr>
          <w:b/>
          <w:bCs/>
        </w:rPr>
        <w:t xml:space="preserve">sibling item BOB-162</w:t>
      </w:r>
      <w:r>
        <w:t xml:space="preserve"> </w:t>
      </w:r>
      <w:r>
        <w:t xml:space="preserve">(filed in this same commit; see below), which independently states:</w:t>
      </w:r>
      <w:r>
        <w:t xml:space="preserve"> </w:t>
      </w:r>
      <w:r>
        <w:t xml:space="preserve">“Neither is</w:t>
      </w:r>
      <w:r>
        <w:t xml:space="preserve"> </w:t>
      </w:r>
      <w:r>
        <w:t xml:space="preserve">invoked by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, so neither exerts</w:t>
      </w:r>
      <w:r>
        <w:t xml:space="preserve"> </w:t>
      </w:r>
      <w:r>
        <w:t xml:space="preserve">standing detection pressure (11.4.226: a guard with no execution seam is not coverage; registration is</w:t>
      </w:r>
      <w:r>
        <w:t xml:space="preserve"> </w:t>
      </w:r>
      <w:r>
        <w:t xml:space="preserve">not coverage).”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is not in this commit’s touched-file list at all.</w:t>
      </w:r>
    </w:p>
    <w:p>
      <w:pPr>
        <w:pStyle w:val="BodyText"/>
      </w:pPr>
      <w:r>
        <w:rPr>
          <w:b/>
          <w:bCs/>
        </w:rPr>
        <w:t xml:space="preserve">Precisely what is still missing to fully close BOB-106:</w:t>
      </w:r>
      <w:r>
        <w:t xml:space="preserve"> </w:t>
      </w:r>
      <w:r>
        <w:t xml:space="preserve">1. Wiring</w:t>
      </w:r>
      <w:r>
        <w:t xml:space="preserve"> </w:t>
      </w:r>
      <w:r>
        <w:rPr>
          <w:rStyle w:val="VerbatimChar"/>
        </w:rPr>
        <w:t xml:space="preserve">unattributed-commit-guard.sh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as a real invocation seam (currently invoked by nothing but its own</w:t>
      </w:r>
      <w:r>
        <w:t xml:space="preserve"> </w:t>
      </w:r>
      <w:r>
        <w:t xml:space="preserve">test/self-test).</w:t>
      </w:r>
      <w:r>
        <w:t xml:space="preserve"> </w:t>
      </w:r>
      <w:r>
        <w:t xml:space="preserve">2. An operator decision on the §11.4.224(E) brownfield-adoption question the guard’s own header and</w:t>
      </w:r>
      <w:r>
        <w:t xml:space="preserve"> </w:t>
      </w:r>
      <w:r>
        <w:t xml:space="preserve">BOB-162 raise: wiring the guard AS-IS against the 14 pre-existing unattributed commits would refuse</w:t>
      </w:r>
      <w:r>
        <w:t xml:space="preserve"> </w:t>
      </w:r>
      <w:r>
        <w:t xml:space="preserve">every future commit immediately, so the acceptance criteria explicitly requires either the wiring OR</w:t>
      </w:r>
      <w:r>
        <w:t xml:space="preserve"> </w:t>
      </w:r>
      <w:r>
        <w:t xml:space="preserve">“a registered deferral pointing at”</w:t>
      </w:r>
      <w:r>
        <w:t xml:space="preserve"> </w:t>
      </w:r>
      <w:r>
        <w:t xml:space="preserve">the tracking item (BOB-162) recording that adoption choice — and</w:t>
      </w:r>
      <w:r>
        <w:t xml:space="preserve"> </w:t>
      </w:r>
      <w:r>
        <w:t xml:space="preserve">BOB-162’s own text states plainly</w:t>
      </w:r>
      <w:r>
        <w:t xml:space="preserve"> </w:t>
      </w:r>
      <w:r>
        <w:t xml:space="preserve">“this item is not closed until that answer is recorded,”</w:t>
      </w:r>
      <w:r>
        <w:t xml:space="preserve"> </w:t>
      </w:r>
      <w:r>
        <w:t xml:space="preserve">i.e. as of</w:t>
      </w:r>
      <w:r>
        <w:t xml:space="preserve"> </w:t>
      </w:r>
      <w:r>
        <w:t xml:space="preserve">the commit, that answer had not yet been recorded.</w:t>
      </w:r>
    </w:p>
    <w:p>
      <w:pPr>
        <w:pStyle w:val="BodyText"/>
      </w:pPr>
      <w:r>
        <w:t xml:space="preserve">This partial-progress gap is not something this investigation should silently complete: per the task’s</w:t>
      </w:r>
      <w:r>
        <w:t xml:space="preserve"> </w:t>
      </w:r>
      <w:r>
        <w:t xml:space="preserve">own scope boundary, wiring a guard into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/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when its own</w:t>
      </w:r>
      <w:r>
        <w:t xml:space="preserve"> </w:t>
      </w:r>
      <w:r>
        <w:t xml:space="preserve">in-source comment explicitly defers that decision to the operator (§11.4.66/§11.4.224(E) brownfield</w:t>
      </w:r>
      <w:r>
        <w:t xml:space="preserve"> </w:t>
      </w:r>
      <w:r>
        <w:t xml:space="preserve">adoption) is exactly the kind of decision reserved for the operator, not a low-risk mechanical follow-up</w:t>
      </w:r>
      <w:r>
        <w:t xml:space="preserve"> </w:t>
      </w:r>
      <w:r>
        <w:t xml:space="preserve">a subagent should make unilaterally. I did not attempt it.</w:t>
      </w:r>
    </w:p>
    <w:p>
      <w:r>
        <w:pict>
          <v:rect style="width:0;height:1.5pt" o:hralign="center" o:hrstd="t" o:hr="t"/>
        </w:pict>
      </w:r>
    </w:p>
    <w:bookmarkEnd w:id="10"/>
    <w:bookmarkStart w:id="11" w:name="Xacefa1be160e0de55d8124335022d5be71cacc5"/>
    <w:p>
      <w:pPr>
        <w:pStyle w:val="Heading2"/>
      </w:pPr>
      <w:r>
        <w:t xml:space="preserve">BOB-110 —</w:t>
      </w:r>
      <w:r>
        <w:t xml:space="preserve"> </w:t>
      </w:r>
      <w:r>
        <w:t xml:space="preserve">“BOB-074 followup: UX-class test coverage (accessibility/usability) absent”</w:t>
      </w:r>
    </w:p>
    <w:p>
      <w:pPr>
        <w:pStyle w:val="FirstParagraph"/>
      </w:pPr>
      <w:r>
        <w:rPr>
          <w:b/>
          <w:bCs/>
        </w:rPr>
        <w:t xml:space="preserve">Verdict: (a) — the commit already closes it.</w:t>
      </w:r>
    </w:p>
    <w:p>
      <w:pPr>
        <w:pStyle w:val="BodyText"/>
      </w:pPr>
      <w:r>
        <w:rPr>
          <w:b/>
          <w:bCs/>
        </w:rPr>
        <w:t xml:space="preserve">Item’s stated acceptance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docs/Issues.md</w:t>
      </w:r>
      <w:r>
        <w:rPr>
          <w:b/>
          <w:bCs/>
        </w:rPr>
        <w:t xml:space="preserve">):</w:t>
      </w:r>
      <w:r>
        <w:t xml:space="preserve"> </w:t>
      </w:r>
      <w:r>
        <w:t xml:space="preserve">“</w:t>
      </w:r>
      <w:r>
        <w:rPr>
          <w:rStyle w:val="VerbatimChar"/>
        </w:rPr>
        <w:t xml:space="preserve">docs/testing/test_type_matrix.md</w:t>
      </w:r>
      <w:r>
        <w:t xml:space="preserve">’s §11.4.27</w:t>
      </w:r>
      <w:r>
        <w:t xml:space="preserve"> </w:t>
      </w:r>
      <w:r>
        <w:t xml:space="preserve">test-type audit found UI functional coverage (Vitest + Playwright) but nothing framed around</w:t>
      </w:r>
      <w:r>
        <w:t xml:space="preserve"> </w:t>
      </w:r>
      <w:r>
        <w:t xml:space="preserve">usability/accessibility/UX outcomes specifically. Scope an axe-core or equivalent accessibility pass over</w:t>
      </w:r>
      <w:r>
        <w:t xml:space="preserve"> </w:t>
      </w:r>
      <w:r>
        <w:t xml:space="preserve">the Angular frontend, covering WCAG checks, keyboard-nav coverage, and screen-reader labeling.”</w:t>
      </w:r>
    </w:p>
    <w:p>
      <w:pPr>
        <w:pStyle w:val="BodyText"/>
      </w:pPr>
      <w:r>
        <w:rPr>
          <w:b/>
          <w:bCs/>
        </w:rPr>
        <w:t xml:space="preserve">Citing evidence: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git show 7b45113 --stat</w:t>
      </w:r>
      <w:r>
        <w:t xml:space="preserve"> </w:t>
      </w:r>
      <w:r>
        <w:t xml:space="preserve">shows a brand-new</w:t>
      </w:r>
      <w:r>
        <w:t xml:space="preserve"> </w:t>
      </w:r>
      <w:r>
        <w:rPr>
          <w:rStyle w:val="VerbatimChar"/>
        </w:rPr>
        <w:t xml:space="preserve">tests/ux/</w:t>
      </w:r>
      <w:r>
        <w:t xml:space="preserve"> </w:t>
      </w:r>
      <w:r>
        <w:t xml:space="preserve">suite: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(137 lines),</w:t>
      </w:r>
      <w:r>
        <w:t xml:space="preserve"> </w:t>
      </w:r>
      <w:r>
        <w:rPr>
          <w:rStyle w:val="VerbatimChar"/>
        </w:rPr>
        <w:t xml:space="preserve">test_accessibility_axe.py</w:t>
      </w:r>
      <w:r>
        <w:t xml:space="preserve"> </w:t>
      </w:r>
      <w:r>
        <w:t xml:space="preserve">(141 lines),</w:t>
      </w:r>
      <w:r>
        <w:t xml:space="preserve"> </w:t>
      </w:r>
      <w:r>
        <w:rPr>
          <w:rStyle w:val="VerbatimChar"/>
        </w:rPr>
        <w:t xml:space="preserve">test_keyboard_navigation.py</w:t>
      </w:r>
      <w:r>
        <w:t xml:space="preserve"> </w:t>
      </w:r>
      <w:r>
        <w:t xml:space="preserve">(111 lines),</w:t>
      </w:r>
      <w:r>
        <w:t xml:space="preserve"> </w:t>
      </w:r>
      <w:r>
        <w:rPr>
          <w:rStyle w:val="VerbatimChar"/>
        </w:rPr>
        <w:t xml:space="preserve">test_live_dashboard_accessibility.py</w:t>
      </w:r>
      <w:r>
        <w:t xml:space="preserve"> </w:t>
      </w:r>
      <w:r>
        <w:t xml:space="preserve">(72 lines), 4 fixture HTML files (good/bad pairs for</w:t>
      </w:r>
      <w:r>
        <w:t xml:space="preserve"> </w:t>
      </w:r>
      <w:r>
        <w:t xml:space="preserve">accessibility and keyboard-nav), plus</w:t>
      </w:r>
      <w:r>
        <w:t xml:space="preserve"> </w:t>
      </w:r>
      <w:r>
        <w:rPr>
          <w:rStyle w:val="VerbatimChar"/>
        </w:rPr>
        <w:t xml:space="preserve">docs/testing/ux_accessibility.md</w:t>
      </w:r>
      <w:r>
        <w:t xml:space="preserve"> </w:t>
      </w:r>
      <w:r>
        <w:t xml:space="preserve">(187 lines, new</w:t>
      </w:r>
      <w:r>
        <w:t xml:space="preserve"> </w:t>
      </w:r>
      <w:r>
        <w:t xml:space="preserve">documentation) and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/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changes adding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as a real</w:t>
      </w:r>
      <w:r>
        <w:t xml:space="preserve"> </w:t>
      </w:r>
      <w:r>
        <w:t xml:space="preserve">npm devDependency (not vendored by hand).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docs/testing/ux_accessibility.md</w:t>
      </w:r>
      <w:r>
        <w:t xml:space="preserve"> </w:t>
      </w:r>
      <w:r>
        <w:t xml:space="preserve">(new this commit) explicitly maps its coverage table against the</w:t>
      </w:r>
      <w:r>
        <w:t xml:space="preserve"> </w:t>
      </w:r>
      <w:r>
        <w:t xml:space="preserve">3 named acceptance criteria: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WCAG checks</w:t>
      </w:r>
      <w:r>
        <w:t xml:space="preserve"> </w:t>
      </w:r>
      <w:r>
        <w:t xml:space="preserve">— real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scan of a real Playwright-rendered, JS-hydrated DOM: image</w:t>
      </w:r>
      <w:r>
        <w:t xml:space="preserve"> </w:t>
      </w:r>
      <w:r>
        <w:t xml:space="preserve">alt-text (</w:t>
      </w:r>
      <w:r>
        <w:rPr>
          <w:rStyle w:val="VerbatimChar"/>
        </w:rPr>
        <w:t xml:space="preserve">image-alt</w:t>
      </w:r>
      <w:r>
        <w:t xml:space="preserve">), form-control labels (</w:t>
      </w:r>
      <w:r>
        <w:rPr>
          <w:rStyle w:val="VerbatimChar"/>
        </w:rPr>
        <w:t xml:space="preserve">label</w:t>
      </w:r>
      <w:r>
        <w:t xml:space="preserve">), colour contrast (</w:t>
      </w:r>
      <w:r>
        <w:rPr>
          <w:rStyle w:val="VerbatimChar"/>
        </w:rPr>
        <w:t xml:space="preserve">color-contrast</w:t>
      </w:r>
      <w:r>
        <w:t xml:space="preserve">), single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/heading order (</w:t>
      </w:r>
      <w:r>
        <w:rPr>
          <w:rStyle w:val="VerbatimChar"/>
        </w:rPr>
        <w:t xml:space="preserve">heading-order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&lt;html lang&gt;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html-has-lang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Keyboard-nav coverage</w:t>
      </w:r>
      <w:r>
        <w:t xml:space="preserve"> </w:t>
      </w:r>
      <w:r>
        <w:t xml:space="preserve">— real</w:t>
      </w:r>
      <w:r>
        <w:t xml:space="preserve"> </w:t>
      </w:r>
      <w:r>
        <w:rPr>
          <w:rStyle w:val="VerbatimChar"/>
        </w:rPr>
        <w:t xml:space="preserve">page.keyboard.press("Tab")</w:t>
      </w:r>
      <w:r>
        <w:t xml:space="preserve"> </w:t>
      </w:r>
      <w:r>
        <w:t xml:space="preserve">traversal asserting on</w:t>
      </w:r>
      <w:r>
        <w:t xml:space="preserve"> </w:t>
      </w:r>
      <w:r>
        <w:rPr>
          <w:rStyle w:val="VerbatimChar"/>
        </w:rPr>
        <w:t xml:space="preserve">document.activeElement.id</w:t>
      </w:r>
      <w:r>
        <w:t xml:space="preserve">, plus real computed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style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outlineStyle</w:t>
      </w:r>
      <w:r>
        <w:t xml:space="preserve">/</w:t>
      </w:r>
      <w:r>
        <w:rPr>
          <w:rStyle w:val="VerbatimChar"/>
        </w:rPr>
        <w:t xml:space="preserve">outlineWidth</w:t>
      </w:r>
      <w:r>
        <w:t xml:space="preserve">/</w:t>
      </w:r>
      <w:r>
        <w:rPr>
          <w:rStyle w:val="VerbatimChar"/>
        </w:rPr>
        <w:t xml:space="preserve">boxShadow</w:t>
      </w:r>
      <w:r>
        <w:t xml:space="preserve">) read after a real Tab press.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Screen-reader labeling</w:t>
      </w:r>
      <w:r>
        <w:t xml:space="preserve"> </w:t>
      </w:r>
      <w:r>
        <w:t xml:space="preserve">— covered via axe’s accessible-name/ARIA-resolution rule set (the doc’s</w:t>
      </w:r>
      <w:r>
        <w:t xml:space="preserve"> </w:t>
      </w:r>
      <w:r>
        <w:t xml:space="preserve">own oracle-selection table states the chosen oracle</w:t>
      </w:r>
      <w:r>
        <w:t xml:space="preserve"> </w:t>
      </w:r>
      <w:r>
        <w:t xml:space="preserve">“Implements the actual WCAG 2.x success</w:t>
      </w:r>
      <w:r>
        <w:t xml:space="preserve"> </w:t>
      </w:r>
      <w:r>
        <w:t xml:space="preserve">criteria (real computed contrast, real ARIA resolution, real accessible-name computation)”</w:t>
      </w:r>
      <w:r>
        <w:t xml:space="preserve">), plus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image-alt</w:t>
      </w:r>
      <w:r>
        <w:t xml:space="preserve"> </w:t>
      </w:r>
      <w:r>
        <w:t xml:space="preserve">rules directly assert screen-reader-relevant labeling.</w:t>
      </w:r>
    </w:p>
    <w:p>
      <w:pPr>
        <w:numPr>
          <w:ilvl w:val="0"/>
          <w:numId w:val="1004"/>
        </w:numPr>
      </w:pPr>
      <w:r>
        <w:t xml:space="preserve">Anti-bluff RED→GREEN evidence pasted in the doc:</w:t>
      </w:r>
      <w:r>
        <w:t xml:space="preserve"> </w:t>
      </w:r>
      <w:r>
        <w:rPr>
          <w:rStyle w:val="VerbatimChar"/>
        </w:rPr>
        <w:t xml:space="preserve">a11y_good.html</w:t>
      </w:r>
      <w:r>
        <w:t xml:space="preserve">’s alt attribute was removed, the</w:t>
      </w:r>
      <w:r>
        <w:t xml:space="preserve"> </w:t>
      </w:r>
      <w:r>
        <w:t xml:space="preserve">golden-good suite observed to FAIL on</w:t>
      </w:r>
      <w:r>
        <w:t xml:space="preserve"> </w:t>
      </w:r>
      <w:r>
        <w:rPr>
          <w:rStyle w:val="VerbatimChar"/>
        </w:rPr>
        <w:t xml:space="preserve">image-alt</w:t>
      </w:r>
      <w:r>
        <w:t xml:space="preserve">, the file restored with a verified byte-identical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match, then re-observed to PASS.</w:t>
      </w:r>
    </w:p>
    <w:p>
      <w:pPr>
        <w:numPr>
          <w:ilvl w:val="0"/>
          <w:numId w:val="1004"/>
        </w:numPr>
      </w:pPr>
      <w:r>
        <w:t xml:space="preserve">Golden-FALSE (negative control) cases are documented and asserted: a decorative</w:t>
      </w:r>
      <w:r>
        <w:t xml:space="preserve"> </w:t>
      </w:r>
      <w:r>
        <w:rPr>
          <w:rStyle w:val="VerbatimChar"/>
        </w:rPr>
        <w:t xml:space="preserve">alt=""</w:t>
      </w:r>
      <w:r>
        <w:t xml:space="preserve"> </w:t>
      </w:r>
      <w:r>
        <w:t xml:space="preserve">image and an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t xml:space="preserve">icon inside an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-carrying button are both proven NOT flagged, proving</w:t>
      </w:r>
      <w:r>
        <w:t xml:space="preserve"> </w:t>
      </w:r>
      <w:r>
        <w:t xml:space="preserve">the oracle discriminates rather than blanket-failing the fixture.</w:t>
      </w:r>
    </w:p>
    <w:p>
      <w:pPr>
        <w:numPr>
          <w:ilvl w:val="0"/>
          <w:numId w:val="1004"/>
        </w:numPr>
      </w:pPr>
      <w:r>
        <w:t xml:space="preserve">The suite found a REAL defect on the first live run (21 WCAG AA colour-contrast violations on the</w:t>
      </w:r>
      <w:r>
        <w:t xml:space="preserve"> </w:t>
      </w:r>
      <w:r>
        <w:t xml:space="preserve">dashboard) and, per §11.4.238 (automated QA must be the discoverer), left the assertion honestly</w:t>
      </w:r>
      <w:r>
        <w:t xml:space="preserve"> </w:t>
      </w:r>
      <w:r>
        <w:t xml:space="preserve">FAILING rather than silencing it — this is the correct, constitution-mandated behaviour for newly</w:t>
      </w:r>
      <w:r>
        <w:t xml:space="preserve"> </w:t>
      </w:r>
      <w:r>
        <w:t xml:space="preserve">discovered coverage, not a sign BOB-110 itself is incomplete: the item’s acceptance text only asks to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the accessibility pass, not to guarantee the underlying app has zero accessibility defects.</w:t>
      </w:r>
    </w:p>
    <w:p>
      <w:pPr>
        <w:numPr>
          <w:ilvl w:val="0"/>
          <w:numId w:val="1004"/>
        </w:numPr>
      </w:pPr>
      <w:r>
        <w:t xml:space="preserve">Confirming that the discovered defect was NOT lost and was NOT conflated with BOB-110’s own scope: a</w:t>
      </w:r>
      <w:r>
        <w:t xml:space="preserve"> </w:t>
      </w:r>
      <w:r>
        <w:t xml:space="preserve">separate tracked item,</w:t>
      </w:r>
      <w:r>
        <w:t xml:space="preserve"> </w:t>
      </w:r>
      <w:r>
        <w:rPr>
          <w:rStyle w:val="VerbatimChar"/>
        </w:rPr>
        <w:t xml:space="preserve">BOB-164</w:t>
      </w:r>
      <w:r>
        <w:t xml:space="preserve"> </w:t>
      </w:r>
      <w:r>
        <w:t xml:space="preserve">(</w:t>
      </w:r>
      <w:r>
        <w:t xml:space="preserve">“Live dashboard fails WCAG AA colour contrast on 21 nodes — brand</w:t>
      </w:r>
      <w:r>
        <w:t xml:space="preserve"> </w:t>
      </w:r>
      <w:r>
        <w:t xml:space="preserve">heading measures 1.43:1 against a 3:1 floor”</w:t>
      </w:r>
      <w:r>
        <w:t xml:space="preserve">), exists in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**Created-By:** BOB-110 UX-class coverage, discovered by the new axe-core suite on its first live run</w:t>
      </w:r>
      <w:r>
        <w:t xml:space="preserve"> </w:t>
      </w:r>
      <w:r>
        <w:t xml:space="preserve">— and BOB-164 has since been independently CLOSED (it lives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). This</w:t>
      </w:r>
      <w:r>
        <w:t xml:space="preserve"> </w:t>
      </w:r>
      <w:r>
        <w:t xml:space="preserve">confirms the discovery→tracked-item→fix pipeline worked exactly as the constitution mandates, and that</w:t>
      </w:r>
      <w:r>
        <w:t xml:space="preserve"> </w:t>
      </w:r>
      <w:r>
        <w:t xml:space="preserve">the found defect is fully accounted for outside BOB-110’s own scope.</w:t>
      </w:r>
    </w:p>
    <w:p>
      <w:pPr>
        <w:pStyle w:val="FirstParagraph"/>
      </w:pPr>
      <w:r>
        <w:rPr>
          <w:b/>
          <w:bCs/>
        </w:rPr>
        <w:t xml:space="preserve">Assumption:</w:t>
      </w:r>
      <w:r>
        <w:t xml:space="preserve"> </w:t>
      </w:r>
      <w:r>
        <w:t xml:space="preserve">BOB-110’s acceptance text does not explicitly require covering every route/dialog in the</w:t>
      </w:r>
      <w:r>
        <w:t xml:space="preserve"> </w:t>
      </w:r>
      <w:r>
        <w:t xml:space="preserve">Angular app; the doc itself lists honest gaps (only the dashboard landing view scanned live; the</w:t>
      </w:r>
      <w:r>
        <w:t xml:space="preserve"> </w:t>
      </w:r>
      <w:r>
        <w:rPr>
          <w:rStyle w:val="VerbatimChar"/>
        </w:rPr>
        <w:t xml:space="preserve">ng serve</w:t>
      </w:r>
      <w:r>
        <w:t xml:space="preserve">-hosted route set not scanned directly — a documented, reasoned scope narrowing, not a silent</w:t>
      </w:r>
      <w:r>
        <w:t xml:space="preserve"> </w:t>
      </w:r>
      <w:r>
        <w:t xml:space="preserve">omission). I read BOB-110’s acceptance as</w:t>
      </w:r>
      <w:r>
        <w:t xml:space="preserve"> </w:t>
      </w:r>
      <w:r>
        <w:t xml:space="preserve">“scope [build] an accessibility pass covering these three</w:t>
      </w:r>
      <w:r>
        <w:t xml:space="preserve"> </w:t>
      </w:r>
      <w:r>
        <w:t xml:space="preserve">classes of check”</w:t>
      </w:r>
      <w:r>
        <w:t xml:space="preserve"> </w:t>
      </w:r>
      <w:r>
        <w:t xml:space="preserve">(which was done, comprehensively, with real oracle proof), not as</w:t>
      </w:r>
      <w:r>
        <w:t xml:space="preserve"> </w:t>
      </w:r>
      <w:r>
        <w:t xml:space="preserve">“achieve zero</w:t>
      </w:r>
      <w:r>
        <w:t xml:space="preserve"> </w:t>
      </w:r>
      <w:r>
        <w:t xml:space="preserve">accessibility violations across the whole app”</w:t>
      </w:r>
      <w:r>
        <w:t xml:space="preserve"> </w:t>
      </w:r>
      <w:r>
        <w:t xml:space="preserve">(which is explicitly BOB-164’s separate, already-closed</w:t>
      </w:r>
      <w:r>
        <w:t xml:space="preserve"> </w:t>
      </w:r>
      <w:r>
        <w:t xml:space="preserve">scope). Under that reading the verdict is (a).</w:t>
      </w:r>
    </w:p>
    <w:p>
      <w:r>
        <w:pict>
          <v:rect style="width:0;height:1.5pt" o:hralign="center" o:hrstd="t" o:hr="t"/>
        </w:pict>
      </w:r>
    </w:p>
    <w:bookmarkEnd w:id="11"/>
    <w:bookmarkStart w:id="12" w:name="X4eb7fa62a55c794fdbfe8b5cada77e750187202"/>
    <w:p>
      <w:pPr>
        <w:pStyle w:val="Heading2"/>
      </w:pPr>
      <w:r>
        <w:t xml:space="preserve">BOB-159 —</w:t>
      </w:r>
      <w:r>
        <w:t xml:space="preserve"> </w:t>
      </w:r>
      <w:r>
        <w:t xml:space="preserve">“Warm ./start.sh over an already-running stack leaves the FR-004d repair window open”</w:t>
      </w:r>
    </w:p>
    <w:p>
      <w:pPr>
        <w:pStyle w:val="FirstParagraph"/>
      </w:pPr>
      <w:r>
        <w:rPr>
          <w:b/>
          <w:bCs/>
        </w:rPr>
        <w:t xml:space="preserve">Verdict: (c) — the commit’s mention is unrelated/contextual (specifically: the commit FILES this item to</w:t>
      </w:r>
      <w:r>
        <w:rPr>
          <w:b/>
          <w:bCs/>
        </w:rPr>
        <w:t xml:space="preserve"> </w:t>
      </w:r>
      <w:r>
        <w:rPr>
          <w:b/>
          <w:bCs/>
        </w:rPr>
        <w:t xml:space="preserve">track work it explicitly did NOT do).</w:t>
      </w:r>
    </w:p>
    <w:p>
      <w:pPr>
        <w:pStyle w:val="BodyText"/>
      </w:pPr>
      <w:r>
        <w:rPr>
          <w:b/>
          <w:bCs/>
        </w:rPr>
        <w:t xml:space="preserve">Citing evidence — exact context of the mention in the commit message:</w:t>
      </w:r>
    </w:p>
    <w:p>
      <w:pPr>
        <w:pStyle w:val="BlockText"/>
      </w:pPr>
      <w:r>
        <w:t xml:space="preserve">“Warm path still has the window; bounded (needs a stale marker AND a live stack together) and filed as</w:t>
      </w:r>
      <w:r>
        <w:t xml:space="preserve"> </w:t>
      </w:r>
      <w:r>
        <w:t xml:space="preserve">BOB-159. The call-site comment that claimed the gate runs”</w:t>
      </w:r>
      <w:r>
        <w:t xml:space="preserve">before any container writes” was a</w:t>
      </w:r>
      <w:r>
        <w:t xml:space="preserve"> </w:t>
      </w:r>
      <w:r>
        <w:t xml:space="preserve">misstatement in our own source and now states the real boundary.”</w:t>
      </w:r>
    </w:p>
    <w:p>
      <w:pPr>
        <w:pStyle w:val="FirstParagraph"/>
      </w:pPr>
      <w:r>
        <w:t xml:space="preserve">and, at the very bottom of the commit message, under a section literally listing new items:</w:t>
      </w:r>
    </w:p>
    <w:p>
      <w:pPr>
        <w:pStyle w:val="BlockText"/>
      </w:pPr>
      <w:r>
        <w:t xml:space="preserve">“Filed this round: BOB-159, BOB-160, BOB-161, BOB-162, BOB-163.”</w:t>
      </w:r>
    </w:p>
    <w:p>
      <w:pPr>
        <w:pStyle w:val="FirstParagraph"/>
      </w:pPr>
      <w:r>
        <w:rPr>
          <w:b/>
          <w:bCs/>
        </w:rPr>
        <w:t xml:space="preserve">Mechanical confirmation this is item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creation</w:t>
      </w:r>
      <w:r>
        <w:rPr>
          <w:b/>
          <w:bCs/>
        </w:rPr>
        <w:t xml:space="preserve">, not closure:</w:t>
      </w:r>
      <w:r>
        <w:t xml:space="preserve"> </w:t>
      </w:r>
      <w:r>
        <w:rPr>
          <w:rStyle w:val="VerbatimChar"/>
        </w:rPr>
        <w:t xml:space="preserve">git show 7b45113 -- docs/Issues.md</w:t>
      </w:r>
      <w:r>
        <w:t xml:space="preserve"> </w:t>
      </w:r>
      <w:r>
        <w:t xml:space="preserve">shows the</w:t>
      </w:r>
      <w:r>
        <w:t xml:space="preserve"> </w:t>
      </w:r>
      <w:r>
        <w:rPr>
          <w:rStyle w:val="VerbatimChar"/>
        </w:rPr>
        <w:t xml:space="preserve">## BOB-159 — Warm ./start.sh over an already-running stack leaves the FR-004d repair window open</w:t>
      </w:r>
      <w:r>
        <w:t xml:space="preserve"> </w:t>
      </w:r>
      <w:r>
        <w:t xml:space="preserve">heading appearing as a brand-new added (</w:t>
      </w:r>
      <w:r>
        <w:rPr>
          <w:rStyle w:val="VerbatimChar"/>
        </w:rPr>
        <w:t xml:space="preserve">+</w:t>
      </w:r>
      <w:r>
        <w:t xml:space="preserve">) block in the diff — the item did not exist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before this commit. It is therefore structurally impossible for this commit to have</w:t>
      </w:r>
      <w:r>
        <w:t xml:space="preserve"> </w:t>
      </w:r>
      <w:r>
        <w:t xml:space="preserve">“closed”</w:t>
      </w:r>
      <w:r>
        <w:t xml:space="preserve"> </w:t>
      </w:r>
      <w:r>
        <w:t xml:space="preserve">an item it simultaneously created.</w:t>
      </w:r>
    </w:p>
    <w:p>
      <w:pPr>
        <w:pStyle w:val="BodyText"/>
      </w:pPr>
      <w:r>
        <w:rPr>
          <w:b/>
          <w:bCs/>
        </w:rPr>
        <w:t xml:space="preserve">Confirming the commit explicitly declined to do BOB-159’s own scope of work</w:t>
      </w:r>
      <w:r>
        <w:t xml:space="preserve">, from the item’s own</w:t>
      </w:r>
      <w:r>
        <w:t xml:space="preserve"> </w:t>
      </w:r>
      <w:r>
        <w:t xml:space="preserve">“prior item text”</w:t>
      </w:r>
      <w:r>
        <w:t xml:space="preserve"> </w:t>
      </w:r>
      <w:r>
        <w:t xml:space="preserve">(i.e. the text as originally filed by this commit, still preserved verbatim in the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entry today, below a later 2026-08-26 operator-decision addendum):</w:t>
      </w:r>
    </w:p>
    <w:p>
      <w:pPr>
        <w:pStyle w:val="BlockText"/>
      </w:pPr>
      <w:r>
        <w:t xml:space="preserve">“The –recreate path was fixed this round: run_ownership_precondition -&gt; stack_down -&gt;</w:t>
      </w:r>
      <w:r>
        <w:t xml:space="preserve"> </w:t>
      </w:r>
      <w:r>
        <w:t xml:space="preserve">run_ownership_repair -&gt; stack_up …</w:t>
      </w:r>
      <w:r>
        <w:t xml:space="preserve"> </w:t>
      </w:r>
      <w:r>
        <w:rPr>
          <w:b/>
          <w:bCs/>
        </w:rPr>
        <w:t xml:space="preserve">The WARM path is NOT covered by that fix and this item tracks</w:t>
      </w:r>
      <w:r>
        <w:rPr>
          <w:b/>
          <w:bCs/>
        </w:rPr>
        <w:t xml:space="preserve"> </w:t>
      </w:r>
      <w:r>
        <w:rPr>
          <w:b/>
          <w:bCs/>
        </w:rPr>
        <w:t xml:space="preserve">the remainder.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NOT DONE THIS ROUND, with the reason stated rather than hidden</w:t>
      </w:r>
      <w:r>
        <w:t xml:space="preserve">: the clean guard</w:t>
      </w:r>
      <w:r>
        <w:t xml:space="preserve"> </w:t>
      </w:r>
      <w:r>
        <w:t xml:space="preserve">is a cheap marker-only probe mode on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… Deferred to this item rather than</w:t>
      </w:r>
      <w:r>
        <w:t xml:space="preserve"> </w:t>
      </w:r>
      <w:r>
        <w:t xml:space="preserve">done unilaterally or silently.”</w:t>
      </w:r>
    </w:p>
    <w:p>
      <w:pPr>
        <w:pStyle w:val="FirstParagraph"/>
      </w:pPr>
      <w:r>
        <w:t xml:space="preserve">BOB-159’s own</w:t>
      </w:r>
      <w:r>
        <w:t xml:space="preserve"> </w:t>
      </w:r>
      <w:r>
        <w:t xml:space="preserve">“Affected scope / file-scope manifest”</w:t>
      </w:r>
      <w:r>
        <w:t xml:space="preserve"> </w:t>
      </w:r>
      <w:r>
        <w:t xml:space="preserve">line (</w:t>
      </w:r>
      <w:r>
        <w:rPr>
          <w:rStyle w:val="VerbatimChar"/>
        </w:rPr>
        <w:t xml:space="preserve">start.sh (warm-start dispatch, run_ownership_gate call site); scripts/ownership_repair.sh (marker fast-path)</w:t>
      </w:r>
      <w:r>
        <w:t xml:space="preserve">) names exactly the work the commit says it did</w:t>
      </w:r>
      <w:r>
        <w:t xml:space="preserve"> </w:t>
      </w:r>
      <w:r>
        <w:t xml:space="preserve">NOT do. The commit’s actual substantive fix (–recreate ordering:</w:t>
      </w:r>
      <w:r>
        <w:t xml:space="preserve"> </w:t>
      </w:r>
      <w:r>
        <w:rPr>
          <w:rStyle w:val="VerbatimChar"/>
        </w:rPr>
        <w:t xml:space="preserve">run_ownership_precondition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stack_down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run_ownership_repair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stack_up</w:t>
      </w:r>
      <w:r>
        <w:t xml:space="preserve">) is a</w:t>
      </w:r>
      <w:r>
        <w:t xml:space="preserve"> </w:t>
      </w:r>
      <w:r>
        <w:rPr>
          <w:i/>
          <w:iCs/>
        </w:rPr>
        <w:t xml:space="preserve">different, already-completed</w:t>
      </w:r>
      <w:r>
        <w:t xml:space="preserve"> </w:t>
      </w:r>
      <w:r>
        <w:t xml:space="preserve">scope (IMPORTANT-2</w:t>
      </w:r>
      <w:r>
        <w:t xml:space="preserve"> </w:t>
      </w:r>
      <w:r>
        <w:t xml:space="preserve">from the T041 review), explicitly distinguished in the commit message from the still-open warm-path gap</w:t>
      </w:r>
      <w:r>
        <w:t xml:space="preserve"> </w:t>
      </w:r>
      <w:r>
        <w:t xml:space="preserve">that BOB-159 tracks.</w:t>
      </w:r>
    </w:p>
    <w:p>
      <w:pPr>
        <w:pStyle w:val="BodyText"/>
      </w:pPr>
      <w:r>
        <w:rPr>
          <w:b/>
          <w:bCs/>
        </w:rPr>
        <w:t xml:space="preserve">Status confirmation: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currently shows BOB-159 as</w:t>
      </w:r>
      <w:r>
        <w:t xml:space="preserve"> </w:t>
      </w:r>
      <w:r>
        <w:rPr>
          <w:rStyle w:val="VerbatimChar"/>
        </w:rPr>
        <w:t xml:space="preserve">**Status:** Queued</w:t>
      </w:r>
      <w:r>
        <w:t xml:space="preserve">, with a</w:t>
      </w:r>
      <w:r>
        <w:t xml:space="preserve"> </w:t>
      </w:r>
      <w:r>
        <w:t xml:space="preserve">2026-08-26</w:t>
      </w:r>
      <w:r>
        <w:t xml:space="preserve"> </w:t>
      </w:r>
      <w:r>
        <w:rPr>
          <w:rStyle w:val="VerbatimChar"/>
        </w:rPr>
        <w:t xml:space="preserve">OPERATOR DECISION</w:t>
      </w:r>
      <w:r>
        <w:t xml:space="preserve"> </w:t>
      </w:r>
      <w:r>
        <w:t xml:space="preserve">recording HOW the warm-path fix should eventually be implemented (repair,</w:t>
      </w:r>
      <w:r>
        <w:t xml:space="preserve"> </w:t>
      </w:r>
      <w:r>
        <w:t xml:space="preserve">then re-verify until stable) — a decision made 5 days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commit 7b45113, further confirming the fix</w:t>
      </w:r>
      <w:r>
        <w:t xml:space="preserve"> </w:t>
      </w:r>
      <w:r>
        <w:t xml:space="preserve">itself has still not landed as of this investigation.</w:t>
      </w:r>
    </w:p>
    <w:p>
      <w:pPr>
        <w:pStyle w:val="BodyText"/>
      </w:pPr>
      <w:r>
        <w:rPr>
          <w:b/>
          <w:bCs/>
        </w:rPr>
        <w:t xml:space="preserve">No follow-up work attempted:</w:t>
      </w:r>
      <w:r>
        <w:t xml:space="preserve"> </w:t>
      </w:r>
      <w:r>
        <w:t xml:space="preserve">BOB-159’s acceptance criteria (a bounded, honestly-reporting repair loop</w:t>
      </w:r>
      <w:r>
        <w:t xml:space="preserve"> </w:t>
      </w:r>
      <w:r>
        <w:t xml:space="preserve">on the warm-start path, asserted behaviourally with paired §1.1 mutations) is real implementation work</w:t>
      </w:r>
      <w:r>
        <w:t xml:space="preserve"> </w:t>
      </w:r>
      <w:r>
        <w:t xml:space="preserve">against a now-operator-decided design, not a small disjoint mechanical fix — outside this task’s</w:t>
      </w:r>
      <w:r>
        <w:t xml:space="preserve"> </w:t>
      </w:r>
      <w:r>
        <w:t xml:space="preserve">low-risk-optional-work exception.</w:t>
      </w:r>
    </w:p>
    <w:p>
      <w:r>
        <w:pict>
          <v:rect style="width:0;height:1.5pt" o:hralign="center" o:hrstd="t" o:hr="t"/>
        </w:pict>
      </w:r>
    </w:p>
    <w:bookmarkEnd w:id="12"/>
    <w:bookmarkStart w:id="13" w:name="Xdfe56df3ad6e4265c2423708682177f6d23e044"/>
    <w:p>
      <w:pPr>
        <w:pStyle w:val="Heading2"/>
      </w:pPr>
      <w:r>
        <w:t xml:space="preserve">BOB-162 —</w:t>
      </w:r>
      <w:r>
        <w:t xml:space="preserve"> </w:t>
      </w:r>
      <w:r>
        <w:t xml:space="preserve">“Two new guards exist but no seam invokes them — plus the brownfield adoption decision the commit guard needs”</w:t>
      </w:r>
    </w:p>
    <w:p>
      <w:pPr>
        <w:pStyle w:val="FirstParagraph"/>
      </w:pPr>
      <w:r>
        <w:rPr>
          <w:b/>
          <w:bCs/>
        </w:rPr>
        <w:t xml:space="preserve">Verdict: (c) — the commit’s mention is unrelated/contextual (specifically: the commit FILES this item,</w:t>
      </w:r>
      <w:r>
        <w:rPr>
          <w:b/>
          <w:bCs/>
        </w:rPr>
        <w:t xml:space="preserve"> </w:t>
      </w:r>
      <w:r>
        <w:rPr>
          <w:b/>
          <w:bCs/>
        </w:rPr>
        <w:t xml:space="preserve">in the same breath explicitly stating it is NOT closed).</w:t>
      </w:r>
    </w:p>
    <w:p>
      <w:pPr>
        <w:pStyle w:val="BodyText"/>
      </w:pPr>
      <w:r>
        <w:rPr>
          <w:b/>
          <w:bCs/>
        </w:rPr>
        <w:t xml:space="preserve">Citing evidence — exact context of the mention in the commit message:</w:t>
      </w:r>
      <w:r>
        <w:t xml:space="preserve"> </w:t>
      </w:r>
      <w:r>
        <w:t xml:space="preserve">BOB-162 is not named inline in</w:t>
      </w:r>
      <w:r>
        <w:t xml:space="preserve"> </w:t>
      </w:r>
      <w:r>
        <w:t xml:space="preserve">the commit message’s prose sections at all; it appears ONLY in the closing roll-call line:</w:t>
      </w:r>
    </w:p>
    <w:p>
      <w:pPr>
        <w:pStyle w:val="BlockText"/>
      </w:pPr>
      <w:r>
        <w:t xml:space="preserve">“Filed this round: BOB-159, BOB-160, BOB-161, BOB-162, BOB-163.”</w:t>
      </w:r>
    </w:p>
    <w:p>
      <w:pPr>
        <w:pStyle w:val="FirstParagraph"/>
      </w:pPr>
      <w:r>
        <w:rPr>
          <w:b/>
          <w:bCs/>
        </w:rPr>
        <w:t xml:space="preserve">Mechanical confirmation this is item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creation</w:t>
      </w:r>
      <w:r>
        <w:rPr>
          <w:b/>
          <w:bCs/>
        </w:rPr>
        <w:t xml:space="preserve">, not closure:</w:t>
      </w:r>
      <w:r>
        <w:t xml:space="preserve"> </w:t>
      </w:r>
      <w:r>
        <w:rPr>
          <w:rStyle w:val="VerbatimChar"/>
        </w:rPr>
        <w:t xml:space="preserve">git show 7b45113 -- docs/Issues.md</w:t>
      </w:r>
      <w:r>
        <w:t xml:space="preserve"> </w:t>
      </w:r>
      <w:r>
        <w:t xml:space="preserve">shows the</w:t>
      </w:r>
      <w:r>
        <w:t xml:space="preserve"> </w:t>
      </w:r>
      <w:r>
        <w:rPr>
          <w:rStyle w:val="VerbatimChar"/>
        </w:rPr>
        <w:t xml:space="preserve">## BOB-162 — Two new guards exist but no seam invokes them — plus the brownfield adoption decision the commit guard needs</w:t>
      </w:r>
      <w:r>
        <w:t xml:space="preserve"> </w:t>
      </w:r>
      <w:r>
        <w:t xml:space="preserve">heading as a brand-new added (</w:t>
      </w:r>
      <w:r>
        <w:rPr>
          <w:rStyle w:val="VerbatimChar"/>
        </w:rPr>
        <w:t xml:space="preserve">+</w:t>
      </w:r>
      <w:r>
        <w:t xml:space="preserve">) block — the item did not exist before</w:t>
      </w:r>
      <w:r>
        <w:t xml:space="preserve"> </w:t>
      </w:r>
      <w:r>
        <w:t xml:space="preserve">this commit.</w:t>
      </w:r>
      <w:r>
        <w:t xml:space="preserve"> </w:t>
      </w:r>
      <w:r>
        <w:rPr>
          <w:rStyle w:val="VerbatimChar"/>
        </w:rPr>
        <w:t xml:space="preserve">**Reported-Via:** §11.4.202 reporting directive \</w:t>
      </w:r>
      <w:r>
        <w:t xml:space="preserve">task` on 2026-08-21T19:35:02Z` (a</w:t>
      </w:r>
      <w:r>
        <w:t xml:space="preserve"> </w:t>
      </w:r>
      <w:r>
        <w:t xml:space="preserve">timestamp ~21 minutes before the commit’s own 19:56:22Z UTC authoring time) confirms it was filed as a</w:t>
      </w:r>
      <w:r>
        <w:t xml:space="preserve"> </w:t>
      </w:r>
      <w:r>
        <w:t xml:space="preserve">live §11.4.202 reporting-directive action during the same working session that produced this commit, then</w:t>
      </w:r>
      <w:r>
        <w:t xml:space="preserve"> </w:t>
      </w:r>
      <w:r>
        <w:t xml:space="preserve">included in the commit’s docs sync.</w:t>
      </w:r>
    </w:p>
    <w:p>
      <w:pPr>
        <w:pStyle w:val="BodyText"/>
      </w:pPr>
      <w:r>
        <w:rPr>
          <w:b/>
          <w:bCs/>
        </w:rPr>
        <w:t xml:space="preserve">The item’s own body text, written and committed in the SAME commit, explicitly states it is unresolved</w:t>
      </w:r>
      <w:r>
        <w:t xml:space="preserve"> </w:t>
      </w:r>
      <w:r>
        <w:t xml:space="preserve">(quoted from the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diff added by this commit):</w:t>
      </w:r>
    </w:p>
    <w:p>
      <w:pPr>
        <w:pStyle w:val="BlockText"/>
      </w:pPr>
      <w:r>
        <w:t xml:space="preserve">“But the GUARDS themselves are still invoked by nothing.”</w:t>
      </w:r>
      <w:r>
        <w:t xml:space="preserve"> </w:t>
      </w:r>
      <w:r>
        <w:t xml:space="preserve">…</w:t>
      </w:r>
      <w:r>
        <w:t xml:space="preserve"> </w:t>
      </w:r>
      <w:r>
        <w:t xml:space="preserve">“Neither is invoked by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, so neither exerts standing</w:t>
      </w:r>
      <w:r>
        <w:t xml:space="preserve"> </w:t>
      </w:r>
      <w:r>
        <w:t xml:space="preserve">detection pressure (11.4.226: a guard with no execution seam is not coverage; registration is not</w:t>
      </w:r>
      <w:r>
        <w:t xml:space="preserve"> </w:t>
      </w:r>
      <w:r>
        <w:t xml:space="preserve">coverage).”</w:t>
      </w:r>
      <w:r>
        <w:t xml:space="preserve"> </w:t>
      </w:r>
      <w:r>
        <w:t xml:space="preserve">…</w:t>
      </w:r>
      <w:r>
        <w:t xml:space="preserve"> </w:t>
      </w:r>
      <w:r>
        <w:t xml:space="preserve">“But it is the operator’s call</w:t>
      </w:r>
      <w:r>
        <w:t xml:space="preserve"> </w:t>
      </w:r>
      <w:r>
        <w:rPr>
          <w:b/>
          <w:bCs/>
        </w:rPr>
        <w:t xml:space="preserve">and this item is not closed until that answer is</w:t>
      </w:r>
      <w:r>
        <w:rPr>
          <w:b/>
          <w:bCs/>
        </w:rPr>
        <w:t xml:space="preserve"> </w:t>
      </w:r>
      <w:r>
        <w:rPr>
          <w:b/>
          <w:bCs/>
        </w:rPr>
        <w:t xml:space="preserve">recorded.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Acceptance criteria (from the same, self-authored text):</w:t>
      </w:r>
      <w:r>
        <w:t xml:space="preserve"> </w:t>
      </w:r>
      <w:r>
        <w:t xml:space="preserve">“Each guard is invoked by a named seam, OR</w:t>
      </w:r>
      <w:r>
        <w:t xml:space="preserve"> </w:t>
      </w:r>
      <w:r>
        <w:t xml:space="preserve">carries a registered deferral pointing at this item. For</w:t>
      </w:r>
      <w:r>
        <w:t xml:space="preserve"> </w:t>
      </w:r>
      <w:r>
        <w:rPr>
          <w:rStyle w:val="VerbatimChar"/>
        </w:rPr>
        <w:t xml:space="preserve">unattributed-commit-guard.sh</w:t>
      </w:r>
      <w:r>
        <w:t xml:space="preserve"> </w:t>
      </w:r>
      <w:r>
        <w:t xml:space="preserve">specifically, the</w:t>
      </w:r>
      <w:r>
        <w:t xml:space="preserve"> </w:t>
      </w:r>
      <w:r>
        <w:t xml:space="preserve">operator has answered the adoption question below and the answer is recorded as consumer DATA — never an</w:t>
      </w:r>
      <w:r>
        <w:t xml:space="preserve"> </w:t>
      </w:r>
      <w:r>
        <w:t xml:space="preserve">invented ratchet.”</w:t>
      </w:r>
      <w:r>
        <w:t xml:space="preserve"> </w:t>
      </w:r>
      <w:r>
        <w:t xml:space="preserve">As of this investigation (</w:t>
      </w:r>
      <w:r>
        <w:rPr>
          <w:rStyle w:val="VerbatimChar"/>
        </w:rPr>
        <w:t xml:space="preserve">docs/Issues.md</w:t>
      </w:r>
      <w:r>
        <w:t xml:space="preserve">, live), BOB-162 remains</w:t>
      </w:r>
      <w:r>
        <w:t xml:space="preserve"> </w:t>
      </w:r>
      <w:r>
        <w:rPr>
          <w:rStyle w:val="VerbatimChar"/>
        </w:rPr>
        <w:t xml:space="preserve">**Status:** Queued</w:t>
      </w:r>
      <w:r>
        <w:t xml:space="preserve"> </w:t>
      </w:r>
      <w:r>
        <w:t xml:space="preserve">and carries no recorded operator answer to the (a)/(b)/(c)/(d) brownfield-adoption menu it poses —</w:t>
      </w:r>
      <w:r>
        <w:t xml:space="preserve"> </w:t>
      </w:r>
      <w:r>
        <w:t xml:space="preserve">confirming the acceptance criteria genuinely remains unmet, not merely undocumented.</w:t>
      </w:r>
    </w:p>
    <w:p>
      <w:pPr>
        <w:pStyle w:val="BodyText"/>
      </w:pPr>
      <w:r>
        <w:rPr>
          <w:b/>
          <w:bCs/>
        </w:rPr>
        <w:t xml:space="preserve">No follow-up work attempted:</w:t>
      </w:r>
      <w:r>
        <w:t xml:space="preserve"> </w:t>
      </w:r>
      <w:r>
        <w:t xml:space="preserve">BOB-162’s own acceptance criteria requires either (1) wiring the guards</w:t>
      </w:r>
      <w:r>
        <w:t xml:space="preserve"> </w:t>
      </w:r>
      <w:r>
        <w:t xml:space="preserve">into a real seam — an operator-owned decision per its own explicit text, same reasoning as BOB-106 above</w:t>
      </w:r>
      <w:r>
        <w:t xml:space="preserve"> </w:t>
      </w:r>
      <w:r>
        <w:t xml:space="preserve">— or (2) an operator’s recorded answer to a 4-option policy question (11.4.224(E) brownfield adoption).</w:t>
      </w:r>
      <w:r>
        <w:t xml:space="preserve"> </w:t>
      </w:r>
      <w:r>
        <w:t xml:space="preserve">Neither is a small, safe, disjoint mechanical fix a subagent should make unilaterally; both are explicitly</w:t>
      </w:r>
      <w:r>
        <w:t xml:space="preserve"> </w:t>
      </w:r>
      <w:r>
        <w:t xml:space="preserve">reserved for the operator by the item’s own text.</w:t>
      </w:r>
    </w:p>
    <w:p>
      <w:r>
        <w:pict>
          <v:rect style="width:0;height:1.5pt" o:hralign="center" o:hrstd="t" o:hr="t"/>
        </w:pict>
      </w:r>
    </w:p>
    <w:bookmarkEnd w:id="13"/>
    <w:bookmarkStart w:id="14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One-line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BOB-088</w:t>
            </w:r>
          </w:p>
        </w:tc>
        <w:tc>
          <w:tcPr/>
          <w:p>
            <w:pPr>
              <w:pStyle w:val="Compact"/>
            </w:pPr>
            <w:r>
              <w:t xml:space="preserve">(a) closes it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update_readme_doc_links.sh</w:t>
            </w:r>
            <w:r>
              <w:t xml:space="preserve"> </w:t>
            </w:r>
            <w:r>
              <w:t xml:space="preserve">generator + regenerated README table; script’s own header + companion doc explicitly say</w:t>
            </w:r>
            <w:r>
              <w:t xml:space="preserve"> </w:t>
            </w:r>
            <w:r>
              <w:t xml:space="preserve">“BOB-088 — the tracked workable item this script closes”</w:t>
            </w:r>
            <w:r>
              <w:t xml:space="preserve">; every named-missing row now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BOB-106</w:t>
            </w:r>
          </w:p>
        </w:tc>
        <w:tc>
          <w:tcPr/>
          <w:p>
            <w:pPr>
              <w:pStyle w:val="Compact"/>
            </w:pPr>
            <w:r>
              <w:t xml:space="preserve">(b) partial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  <w:r>
              <w:t xml:space="preserve"> </w:t>
            </w:r>
            <w:r>
              <w:rPr>
                <w:rStyle w:val="VerbatimChar"/>
              </w:rPr>
              <w:t xml:space="preserve">unattributed-commit-guard.sh</w:t>
            </w:r>
            <w:r>
              <w:t xml:space="preserve"> </w:t>
            </w:r>
            <w:r>
              <w:t xml:space="preserve">authored + tested + self-validated, but its own header admits</w:t>
            </w:r>
            <w:r>
              <w:t xml:space="preserve"> </w:t>
            </w:r>
            <w:r>
              <w:t xml:space="preserve">“NOT yet invoked from scripts/pre_build_verification.sh or scripts/commit-push-all.sh … Wiring … remains OWED”</w:t>
            </w:r>
            <w:r>
              <w:t xml:space="preserve"> </w:t>
            </w:r>
            <w:r>
              <w:t xml:space="preserve">— the explicit acceptance-criteria clause.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BOB-110</w:t>
            </w:r>
          </w:p>
        </w:tc>
        <w:tc>
          <w:tcPr/>
          <w:p>
            <w:pPr>
              <w:pStyle w:val="Compact"/>
            </w:pPr>
            <w:r>
              <w:t xml:space="preserve">(a) closes it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tests/ux/</w:t>
            </w:r>
            <w:r>
              <w:t xml:space="preserve"> </w:t>
            </w:r>
            <w:r>
              <w:t xml:space="preserve">axe-core + keyboard-nav + screen-reader-labeling suite built with real oracle, RED→GREEN proof, negative controls; discovered defect correctly spun into its own (now separately Fixed) item BOB-164, not silenced.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BOB-159</w:t>
            </w:r>
          </w:p>
        </w:tc>
        <w:tc>
          <w:tcPr/>
          <w:p>
            <w:pPr>
              <w:pStyle w:val="Compact"/>
            </w:pPr>
            <w:r>
              <w:t xml:space="preserve">(c) unrelated/contextual (item-filing)</w:t>
            </w:r>
          </w:p>
        </w:tc>
        <w:tc>
          <w:tcPr/>
          <w:p>
            <w:pPr>
              <w:pStyle w:val="Compact"/>
            </w:pPr>
            <w:r>
              <w:t xml:space="preserve">Commit explicitly created this item (</w:t>
            </w:r>
            <w:r>
              <w:t xml:space="preserve">“filed as BOB-159”</w:t>
            </w:r>
            <w:r>
              <w:t xml:space="preserve">) to track warm-path work it says plainly it did NOT do this round; still Queued today.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BOB-162</w:t>
            </w:r>
          </w:p>
        </w:tc>
        <w:tc>
          <w:tcPr/>
          <w:p>
            <w:pPr>
              <w:pStyle w:val="Compact"/>
            </w:pPr>
            <w:r>
              <w:t xml:space="preserve">(c) unrelated/contextual (item-filing)</w:t>
            </w:r>
          </w:p>
        </w:tc>
        <w:tc>
          <w:tcPr/>
          <w:p>
            <w:pPr>
              <w:pStyle w:val="Compact"/>
            </w:pPr>
            <w:r>
              <w:t xml:space="preserve">Commit created this item via a §11.4.202 report during the same session, whose own text states</w:t>
            </w:r>
            <w:r>
              <w:t xml:space="preserve"> </w:t>
            </w:r>
            <w:r>
              <w:t xml:space="preserve">“this item is not closed until that answer is recorded”</w:t>
            </w:r>
            <w:r>
              <w:t xml:space="preserve">; still Queued today with no recorded operator answer.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2026-09-25T10:16:35Z</dcterms:created>
  <dcterms:modified xsi:type="dcterms:W3CDTF">2026-09-25T10:16:35Z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