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bob-239-closure-evidence"/>
    <w:p>
      <w:pPr>
        <w:pStyle w:val="Heading1"/>
      </w:pPr>
      <w:r>
        <w:t xml:space="preserve">BOB-239 — Closure Evidence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2026-09-25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</w:p>
    <w:bookmarkStart w:id="9" w:name="fix-applied"/>
    <w:p>
      <w:pPr>
        <w:pStyle w:val="Heading2"/>
      </w:pPr>
      <w:r>
        <w:t xml:space="preserve">Fix applied</w:t>
      </w:r>
    </w:p>
    <w:p>
      <w:pPr>
        <w:pStyle w:val="FirstParagraph"/>
      </w:pPr>
      <w:r>
        <w:t xml:space="preserve">All 30 identified pre-existing items corrected via</w:t>
      </w:r>
      <w:r>
        <w:t xml:space="preserve"> </w:t>
      </w:r>
      <w:r>
        <w:rPr>
          <w:rStyle w:val="VerbatimChar"/>
        </w:rPr>
        <w:t xml:space="preserve">workable-items update --status "Completed (→ Fixed.md)" --location Fixed</w:t>
      </w:r>
      <w:r>
        <w:t xml:space="preserve">:</w:t>
      </w:r>
      <w:r>
        <w:t xml:space="preserve"> </w:t>
      </w:r>
      <w:r>
        <w:t xml:space="preserve">BOB-005, BOB-015, BOB-016, BOB-042 through BOB-058 (17 consecutive),</w:t>
      </w:r>
      <w:r>
        <w:t xml:space="preserve"> </w:t>
      </w:r>
      <w:r>
        <w:t xml:space="preserve">BOB-059, BOB-141, BOB-150, BOB-161, BOB-168, BOB-182, BOB-192, BOB-199,</w:t>
      </w:r>
      <w:r>
        <w:t xml:space="preserve"> </w:t>
      </w:r>
      <w:r>
        <w:t xml:space="preserve">BOB-228, BOB-232.</w:t>
      </w:r>
    </w:p>
    <w:bookmarkEnd w:id="9"/>
    <w:bookmarkStart w:id="10" w:name="verification"/>
    <w:p>
      <w:pPr>
        <w:pStyle w:val="Heading2"/>
      </w:pPr>
      <w:r>
        <w:t xml:space="preserve">Verification</w:t>
      </w:r>
    </w:p>
    <w:p>
      <w:pPr>
        <w:pStyle w:val="SourceCode"/>
      </w:pPr>
      <w:r>
        <w:rPr>
          <w:rStyle w:val="VerbatimChar"/>
        </w:rPr>
        <w:t xml:space="preserve">$ sqlite3 docs/workable_items.db "SELECT COUNT(*) FROM items WHERE current_location='Fixed' AND ((type='Task' AND status NOT LIKE 'Completed%' AND status NOT LIKE 'Obsolete%') OR (type='Bug' AND status NOT LIKE 'Fixed%' AND status NOT LIKE 'Obsolete%') OR (type='Feature' AND status NOT LIKE 'Implemented%' AND status NOT LIKE 'Obsolete%'));"</w:t>
      </w:r>
      <w:r>
        <w:br/>
      </w:r>
      <w:r>
        <w:rPr>
          <w:rStyle w:val="VerbatimChar"/>
        </w:rPr>
        <w:t xml:space="preserve">0</w:t>
      </w:r>
    </w:p>
    <w:p>
      <w:pPr>
        <w:pStyle w:val="FirstParagraph"/>
      </w:pPr>
      <w:r>
        <w:t xml:space="preserve">Zero remaining §11.4.33 closure-vocabulary violations across the whole DB.</w:t>
      </w:r>
    </w:p>
    <w:bookmarkEnd w:id="10"/>
    <w:bookmarkStart w:id="11" w:name="X5908a84bba01cb4fd46295de3246ce14d3476f3"/>
    <w:p>
      <w:pPr>
        <w:pStyle w:val="Heading2"/>
      </w:pPr>
      <w:r>
        <w:t xml:space="preserve">Acceptance criterion 2 (mechanical prevention) — see BOB-240</w:t>
      </w:r>
    </w:p>
    <w:p>
      <w:pPr>
        <w:pStyle w:val="FirstParagraph"/>
      </w:pPr>
      <w:r>
        <w:t xml:space="preserve">The item’s acceptance criterion 2/3 (extend</w:t>
      </w:r>
      <w:r>
        <w:t xml:space="preserve"> </w:t>
      </w:r>
      <w:r>
        <w:rPr>
          <w:rStyle w:val="VerbatimChar"/>
        </w:rPr>
        <w:t xml:space="preserve">workable-items close</w:t>
      </w:r>
      <w:r>
        <w:t xml:space="preserve">/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to validate the status word against Type, and extend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to catch</w:t>
      </w:r>
      <w:r>
        <w:t xml:space="preserve"> </w:t>
      </w:r>
      <w:r>
        <w:t xml:space="preserve">this class) is genuinely separate implementation work on the constitution</w:t>
      </w:r>
      <w:r>
        <w:t xml:space="preserve"> </w:t>
      </w:r>
      <w:r>
        <w:t xml:space="preserve">submodule’s Go CLI — split out as its own tracked item (BOB-240) rather</w:t>
      </w:r>
      <w:r>
        <w:t xml:space="preserve"> </w:t>
      </w:r>
      <w:r>
        <w:t xml:space="preserve">than bundled into this bookkeeping-correction closure, so the correction</w:t>
      </w:r>
      <w:r>
        <w:t xml:space="preserve"> </w:t>
      </w:r>
      <w:r>
        <w:t xml:space="preserve">work (done, verified) is not blocked on the harder mechanical-fix work</w:t>
      </w:r>
      <w:r>
        <w:t xml:space="preserve"> </w:t>
      </w:r>
      <w:r>
        <w:t xml:space="preserve">(not yet done).</w:t>
      </w:r>
    </w:p>
    <w:bookmarkEnd w:id="11"/>
    <w:bookmarkStart w:id="12" w:name="classification"/>
    <w:p>
      <w:pPr>
        <w:pStyle w:val="Heading2"/>
      </w:pPr>
      <w:r>
        <w:t xml:space="preserve">Classification</w:t>
      </w:r>
    </w:p>
    <w:p>
      <w:pPr>
        <w:pStyle w:val="FirstParagraph"/>
      </w:pPr>
      <w:r>
        <w:t xml:space="preserve">Project-specific (§11.4.17) — workable-item bookkeeping correction.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2026-09-25T10:16:37Z</dcterms:created>
  <dcterms:modified xsi:type="dcterms:W3CDTF">2026-09-25T10:16:37Z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