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bob-082-closure-evidence"/>
    <w:p>
      <w:pPr>
        <w:pStyle w:val="Heading1"/>
      </w:pPr>
      <w:r>
        <w:t xml:space="preserve">BOB-082 — Closure Evidence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2026-09-25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</w:p>
    <w:bookmarkStart w:id="9" w:name="Xf9fd8fdc04a20ac42b749ff7b1b608189ec99bf"/>
    <w:p>
      <w:pPr>
        <w:pStyle w:val="Heading2"/>
      </w:pPr>
      <w:r>
        <w:t xml:space="preserve">Item’s actual scope (per its own NOTE, narrower than the title)</w:t>
      </w:r>
    </w:p>
    <w:p>
      <w:pPr>
        <w:pStyle w:val="BlockText"/>
      </w:pPr>
      <w:r>
        <w:t xml:space="preserve">NOTE: BOB-064..067 have been created 2026-08-10 as Task/Queued (the four</w:t>
      </w:r>
      <w:r>
        <w:t xml:space="preserve"> </w:t>
      </w:r>
      <w:r>
        <w:t xml:space="preserve">Lava P1..P4 items); the closed-as-Implemented status flip (citing</w:t>
      </w:r>
      <w:r>
        <w:t xml:space="preserve"> </w:t>
      </w:r>
      <w:r>
        <w:t xml:space="preserve">per-finding implementing commits) remains owed under this item.</w:t>
      </w:r>
    </w:p>
    <w:p>
      <w:pPr>
        <w:pStyle w:val="FirstParagraph"/>
      </w:pPr>
      <w:r>
        <w:t xml:space="preserve">So the item’s real remaining work is NOT item creation (already done</w:t>
      </w:r>
      <w:r>
        <w:t xml:space="preserve"> </w:t>
      </w:r>
      <w:r>
        <w:t xml:space="preserve">2026-08-10) — it is verifying/completing the closure of whichever of the</w:t>
      </w:r>
      <w:r>
        <w:t xml:space="preserve"> </w:t>
      </w:r>
      <w:r>
        <w:t xml:space="preserve">four legs are actually finished, with evidence.</w:t>
      </w:r>
    </w:p>
    <w:bookmarkEnd w:id="9"/>
    <w:bookmarkStart w:id="10" w:name="verification-of-current-state-2026-09-25"/>
    <w:p>
      <w:pPr>
        <w:pStyle w:val="Heading2"/>
      </w:pPr>
      <w:r>
        <w:t xml:space="preserve">Verification of current state (2026-09-25)</w:t>
      </w:r>
    </w:p>
    <w:p>
      <w:pPr>
        <w:pStyle w:val="SourceCode"/>
      </w:pPr>
      <w:r>
        <w:rPr>
          <w:rStyle w:val="VerbatimChar"/>
        </w:rPr>
        <w:t xml:space="preserve">$ sqlite3 docs/workable_items.db "SELECT atm_id, status, title FROM items WHERE atm_id IN ('BOB-064','BOB-065','BOB-066','BOB-067');"</w:t>
      </w:r>
      <w:r>
        <w:br/>
      </w:r>
      <w:r>
        <w:rPr>
          <w:rStyle w:val="VerbatimChar"/>
        </w:rPr>
        <w:t xml:space="preserve">BOB-064|Completed (→ Fixed.md)|Lava P1: Durable remote execution (systemd-linger helper)</w:t>
      </w:r>
      <w:r>
        <w:br/>
      </w:r>
      <w:r>
        <w:rPr>
          <w:rStyle w:val="VerbatimChar"/>
        </w:rPr>
        <w:t xml:space="preserve">BOB-065|Queued|Lava P2: Egress diagnosis and VPN-host SOCKS routing (containers pkg/egress)</w:t>
      </w:r>
      <w:r>
        <w:br/>
      </w:r>
      <w:r>
        <w:rPr>
          <w:rStyle w:val="VerbatimChar"/>
        </w:rPr>
        <w:t xml:space="preserve">BOB-066|In progress|Lava P3: BOBA_UPSTREAM_PROXY in download-proxy + qBitTorrent-go + Jackett + compose env-forward</w:t>
      </w:r>
      <w:r>
        <w:br/>
      </w:r>
      <w:r>
        <w:rPr>
          <w:rStyle w:val="VerbatimChar"/>
        </w:rPr>
        <w:t xml:space="preserve">BOB-067|Completed (→ Fixed.md)|Lava P4: Jackett cookie-login hardening + behaviorally-equivalent HelixQA fake</w:t>
      </w:r>
    </w:p>
    <w:p>
      <w:pPr>
        <w:pStyle w:val="FirstParagraph"/>
      </w:pPr>
      <w:r>
        <w:rPr>
          <w:b/>
          <w:bCs/>
        </w:rPr>
        <w:t xml:space="preserve">BOB-064 (P1) and BOB-067 (P4) are already closed with full, rich</w:t>
      </w:r>
      <w:r>
        <w:rPr>
          <w:b/>
          <w:bCs/>
        </w:rP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docs/Fixed.md</w:t>
      </w:r>
      <w:r>
        <w:t xml:space="preserve">) citing the exact implementing commits/files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scripts/lib/durable-run.sh</w:t>
      </w:r>
      <w:r>
        <w:t xml:space="preserve">,</w:t>
      </w:r>
      <w:r>
        <w:t xml:space="preserve"> </w:t>
      </w:r>
      <w:r>
        <w:rPr>
          <w:rStyle w:val="VerbatimChar"/>
        </w:rPr>
        <w:t xml:space="preserve">qBitTorrent-go/internal/jackett/client.go</w:t>
      </w:r>
      <w:r>
        <w:t xml:space="preserve">),</w:t>
      </w:r>
      <w:r>
        <w:t xml:space="preserve"> </w:t>
      </w:r>
      <w:r>
        <w:t xml:space="preserve">regression challenges (</w:t>
      </w:r>
      <w:r>
        <w:rPr>
          <w:rStyle w:val="VerbatimChar"/>
        </w:rPr>
        <w:t xml:space="preserve">challenges/scripts/durable_run_helper_challenge.sh</w:t>
      </w:r>
      <w:r>
        <w:t xml:space="preserve">,</w:t>
      </w:r>
      <w:r>
        <w:t xml:space="preserve"> </w:t>
      </w:r>
      <w:r>
        <w:rPr>
          <w:rStyle w:val="VerbatimChar"/>
        </w:rPr>
        <w:t xml:space="preserve">challenges/scripts/jackett_cookie_login_hardening_challenge.sh</w:t>
      </w:r>
      <w:r>
        <w:t xml:space="preserve">,</w:t>
      </w:r>
      <w:r>
        <w:t xml:space="preserve"> </w:t>
      </w:r>
      <w:r>
        <w:rPr>
          <w:rStyle w:val="VerbatimChar"/>
        </w:rPr>
        <w:t xml:space="preserve">challenges/scripts/helixqa_jackett_fake_behavioral_equivalence_challenge.sh</w:t>
      </w:r>
      <w:r>
        <w:t xml:space="preserve">),</w:t>
      </w:r>
      <w:r>
        <w:t xml:space="preserve"> </w:t>
      </w:r>
      <w:r>
        <w:t xml:space="preserve">§11.4.115 RED/GREEN polarity proofs, §1.1 paired-mutation rehearsals, and</w:t>
      </w:r>
      <w:r>
        <w:t xml:space="preserve"> </w:t>
      </w:r>
      <w:r>
        <w:t xml:space="preserve">live equivalence captures — both entries explicitly state</w:t>
      </w:r>
      <w:r>
        <w:t xml:space="preserve"> </w:t>
      </w:r>
      <w:r>
        <w:t xml:space="preserve">“Closes</w:t>
      </w:r>
      <w:r>
        <w:t xml:space="preserve"> </w:t>
      </w:r>
      <w:r>
        <w:t xml:space="preserve">RD2-15/GA-05 (P1/P4 leg of the four Lava-porting items BOB-064..067)”</w:t>
      </w:r>
      <w:r>
        <w:t xml:space="preserve">.</w:t>
      </w:r>
    </w:p>
    <w:p>
      <w:pPr>
        <w:pStyle w:val="BodyText"/>
      </w:pPr>
      <w:r>
        <w:t xml:space="preserve">Note on closure vocabulary: the item’s own text says</w:t>
      </w:r>
      <w:r>
        <w:t xml:space="preserve"> </w:t>
      </w:r>
      <w:r>
        <w:t xml:space="preserve">“closed as</w:t>
      </w:r>
      <w:r>
        <w:t xml:space="preserve"> </w:t>
      </w:r>
      <w:r>
        <w:t xml:space="preserve">Implemented”</w:t>
      </w:r>
      <w:r>
        <w:t xml:space="preserve"> </w:t>
      </w:r>
      <w:r>
        <w:t xml:space="preserve">— per §11.4.33’s closed-set mapping,</w:t>
      </w:r>
      <w:r>
        <w:t xml:space="preserve"> </w:t>
      </w:r>
      <w:r>
        <w:rPr>
          <w:rStyle w:val="VerbatimChar"/>
        </w:rPr>
        <w:t xml:space="preserve">Task</w:t>
      </w:r>
      <w:r>
        <w:t xml:space="preserve">-type items close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Implemented</w:t>
      </w:r>
      <w:r>
        <w:t xml:space="preserve"> </w:t>
      </w:r>
      <w:r>
        <w:t xml:space="preserve">(</w:t>
      </w:r>
      <w:r>
        <w:rPr>
          <w:rStyle w:val="VerbatimChar"/>
        </w:rPr>
        <w:t xml:space="preserve">Implemented</w:t>
      </w:r>
      <w:r>
        <w:t xml:space="preserve"> </w:t>
      </w:r>
      <w:r>
        <w:t xml:space="preserve">is reserved for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-type items). BOB-064/067 are Type=Task and correctly closed as</w:t>
      </w:r>
      <w:r>
        <w:t xml:space="preserve"> </w:t>
      </w:r>
      <w:r>
        <w:rPr>
          <w:rStyle w:val="VerbatimChar"/>
        </w:rPr>
        <w:t xml:space="preserve">Completed (→ Fixed.md)</w:t>
      </w:r>
      <w:r>
        <w:t xml:space="preserve">. The item’s loose wording does not indicate a</w:t>
      </w:r>
      <w:r>
        <w:t xml:space="preserve"> </w:t>
      </w:r>
      <w:r>
        <w:t xml:space="preserve">defect — the substance (evidence-cited closure) is satisfied.</w:t>
      </w:r>
    </w:p>
    <w:p>
      <w:pPr>
        <w:pStyle w:val="BodyText"/>
      </w:pPr>
      <w:r>
        <w:rPr>
          <w:b/>
          <w:bCs/>
        </w:rPr>
        <w:t xml:space="preserve">BOB-065 (P2) and BOB-066 (P3) are genuinely NOT finished</w:t>
      </w:r>
      <w:r>
        <w:t xml:space="preserve"> </w:t>
      </w:r>
      <w:r>
        <w:t xml:space="preserve">— Queued and</w:t>
      </w:r>
      <w:r>
        <w:t xml:space="preserve"> </w:t>
      </w:r>
      <w:r>
        <w:t xml:space="preserve">In progress respectively. This is NOT a gap in BOB-082’s scope: BOB-082</w:t>
      </w:r>
      <w:r>
        <w:t xml:space="preserve"> </w:t>
      </w:r>
      <w:r>
        <w:t xml:space="preserve">asks to close legs that ARE done with evidence, not to prematurely close</w:t>
      </w:r>
      <w:r>
        <w:t xml:space="preserve"> </w:t>
      </w:r>
      <w:r>
        <w:t xml:space="preserve">unfinished work (doing so would itself be a §11.4 PASS-bluff). The</w:t>
      </w:r>
      <w:r>
        <w:t xml:space="preserve"> </w:t>
      </w:r>
      <w:r>
        <w:t xml:space="preserve">remaining two legs are correctly tracked and progressed under their own</w:t>
      </w:r>
      <w:r>
        <w:t xml:space="preserve"> </w:t>
      </w:r>
      <w:r>
        <w:t xml:space="preserve">items (BOB-065, BOB-066), outside BOB-082.</w:t>
      </w:r>
    </w:p>
    <w:bookmarkEnd w:id="10"/>
    <w:bookmarkStart w:id="11" w:name="ga-05-finding-re-verified-as-resolved"/>
    <w:p>
      <w:pPr>
        <w:pStyle w:val="Heading2"/>
      </w:pPr>
      <w:r>
        <w:t xml:space="preserve">GA-05 finding re-verified as resolved</w:t>
      </w:r>
    </w:p>
    <w:p>
      <w:pPr>
        <w:pStyle w:val="FirstParagraph"/>
      </w:pPr>
      <w:r>
        <w:t xml:space="preserve">The item’s own reproduction step:</w:t>
      </w:r>
    </w:p>
    <w:p>
      <w:pPr>
        <w:pStyle w:val="SourceCode"/>
      </w:pPr>
      <w:r>
        <w:rPr>
          <w:rStyle w:val="VerbatimChar"/>
        </w:rPr>
        <w:t xml:space="preserve">$ grep -in lava\|BOB-06[4-7] docs/Issues.md docs/Fixed.md</w:t>
      </w:r>
    </w:p>
    <w:p>
      <w:pPr>
        <w:pStyle w:val="FirstParagraph"/>
      </w:pPr>
      <w:r>
        <w:t xml:space="preserve">now returns many hits across both files (BOB-064/067 in Fixed.md with full</w:t>
      </w:r>
      <w:r>
        <w:t xml:space="preserve"> </w:t>
      </w:r>
      <w:r>
        <w:t xml:space="preserve">evidence; BOB-065/066 in Issues.md, actively tracked) — the zero-hit state</w:t>
      </w:r>
      <w:r>
        <w:t xml:space="preserve"> </w:t>
      </w:r>
      <w:r>
        <w:t xml:space="preserve">GA-05 originally measured (2026-08-08, before the items existed) no longer</w:t>
      </w:r>
      <w:r>
        <w:t xml:space="preserve"> </w:t>
      </w:r>
      <w:r>
        <w:t xml:space="preserve">holds.</w:t>
      </w:r>
    </w:p>
    <w:bookmarkEnd w:id="11"/>
    <w:bookmarkStart w:id="12" w:name="disposition"/>
    <w:p>
      <w:pPr>
        <w:pStyle w:val="Heading2"/>
      </w:pPr>
      <w:r>
        <w:t xml:space="preserve">Disposition</w:t>
      </w:r>
    </w:p>
    <w:p>
      <w:pPr>
        <w:pStyle w:val="FirstParagraph"/>
      </w:pPr>
      <w:r>
        <w:t xml:space="preserve">BOB-082’s literal scope — item creation (done 2026-08-10) + evidence-cited</w:t>
      </w:r>
      <w:r>
        <w:t xml:space="preserve"> </w:t>
      </w:r>
      <w:r>
        <w:t xml:space="preserve">closure of the finished legs (done, verified above) — is complete. The two</w:t>
      </w:r>
      <w:r>
        <w:t xml:space="preserve"> </w:t>
      </w:r>
      <w:r>
        <w:t xml:space="preserve">still-open legs are correctly out of scope for this item and continue</w:t>
      </w:r>
      <w:r>
        <w:t xml:space="preserve"> </w:t>
      </w:r>
      <w:r>
        <w:t xml:space="preserve">under BOB-065/BOB-066.</w:t>
      </w:r>
    </w:p>
    <w:bookmarkEnd w:id="12"/>
    <w:bookmarkStart w:id="13" w:name="classification"/>
    <w:p>
      <w:pPr>
        <w:pStyle w:val="Heading2"/>
      </w:pPr>
      <w:r>
        <w:t xml:space="preserve">Classification</w:t>
      </w:r>
    </w:p>
    <w:p>
      <w:pPr>
        <w:pStyle w:val="FirstParagraph"/>
      </w:pPr>
      <w:r>
        <w:t xml:space="preserve">Project-specific (§11.4.17) — workable-item bookkeeping; no constitution</w:t>
      </w:r>
      <w:r>
        <w:t xml:space="preserve"> </w:t>
      </w:r>
      <w:r>
        <w:t xml:space="preserve">change.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2026-09-25T09:51:42Z</dcterms:created>
  <dcterms:modified xsi:type="dcterms:W3CDTF">2026-09-25T09:51:42Z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