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In progress</w:t>
            </w:r>
          </w:p>
        </w:tc>
        <w:tc>
          <w:tcPr/>
          <w:p>
            <w:pPr>
              <w:pStyle w:val="Compact"/>
            </w:pPr>
            <w:r>
              <w:t xml:space="preserve">5</w:t>
            </w:r>
          </w:p>
        </w:tc>
      </w:tr>
      <w:tr>
        <w:tc>
          <w:tcPr/>
          <w:p>
            <w:pPr>
              <w:pStyle w:val="Compact"/>
            </w:pPr>
            <w:r>
              <w:t xml:space="preserve">Bug</w:t>
            </w:r>
          </w:p>
        </w:tc>
        <w:tc>
          <w:tcPr/>
          <w:p>
            <w:pPr>
              <w:pStyle w:val="Compact"/>
            </w:pPr>
            <w:r>
              <w:t xml:space="preserve">Operator-blocked</w:t>
            </w:r>
          </w:p>
        </w:tc>
        <w:tc>
          <w:tcPr/>
          <w:p>
            <w:pPr>
              <w:pStyle w:val="Compact"/>
            </w:pPr>
            <w:r>
              <w:t xml:space="preserve">3</w:t>
            </w:r>
          </w:p>
        </w:tc>
      </w:tr>
      <w:tr>
        <w:tc>
          <w:tcPr/>
          <w:p>
            <w:pPr>
              <w:pStyle w:val="Compact"/>
            </w:pPr>
            <w:r>
              <w:t xml:space="preserve">Bug</w:t>
            </w:r>
          </w:p>
        </w:tc>
        <w:tc>
          <w:tcPr/>
          <w:p>
            <w:pPr>
              <w:pStyle w:val="Compact"/>
            </w:pPr>
            <w:r>
              <w:t xml:space="preserve">Queued</w:t>
            </w:r>
          </w:p>
        </w:tc>
        <w:tc>
          <w:tcPr/>
          <w:p>
            <w:pPr>
              <w:pStyle w:val="Compact"/>
            </w:pPr>
            <w:r>
              <w:t xml:space="preserve">4</w:t>
            </w:r>
          </w:p>
        </w:tc>
      </w:tr>
      <w:tr>
        <w:tc>
          <w:tcPr/>
          <w:p>
            <w:pPr>
              <w:pStyle w:val="Compact"/>
            </w:pPr>
            <w:r>
              <w:t xml:space="preserve">Task</w:t>
            </w:r>
          </w:p>
        </w:tc>
        <w:tc>
          <w:tcPr/>
          <w:p>
            <w:pPr>
              <w:pStyle w:val="Compact"/>
            </w:pPr>
            <w:r>
              <w:t xml:space="preserve">In progress</w:t>
            </w:r>
          </w:p>
        </w:tc>
        <w:tc>
          <w:tcPr/>
          <w:p>
            <w:pPr>
              <w:pStyle w:val="Compact"/>
            </w:pPr>
            <w:r>
              <w:t xml:space="preserve">13</w:t>
            </w:r>
          </w:p>
        </w:tc>
      </w:tr>
      <w:tr>
        <w:tc>
          <w:tcPr/>
          <w:p>
            <w:pPr>
              <w:pStyle w:val="Compact"/>
            </w:pPr>
            <w:r>
              <w:t xml:space="preserve">Task</w:t>
            </w:r>
          </w:p>
        </w:tc>
        <w:tc>
          <w:tcPr/>
          <w:p>
            <w:pPr>
              <w:pStyle w:val="Compact"/>
            </w:pPr>
            <w:r>
              <w:t xml:space="preserve">Queued</w:t>
            </w:r>
          </w:p>
        </w:tc>
        <w:tc>
          <w:tcPr/>
          <w:p>
            <w:pPr>
              <w:pStyle w:val="Compact"/>
            </w:pPr>
            <w:r>
              <w:t xml:space="preserve">10</w:t>
            </w:r>
          </w:p>
        </w:tc>
      </w:tr>
      <w:tr>
        <w:tc>
          <w:tcPr/>
          <w:p>
            <w:pPr>
              <w:pStyle w:val="Compact"/>
            </w:pPr>
            <w:r>
              <w:t xml:space="preserve">Task</w:t>
            </w:r>
          </w:p>
        </w:tc>
        <w:tc>
          <w:tcPr/>
          <w:p>
            <w:pPr>
              <w:pStyle w:val="Compact"/>
            </w:pPr>
            <w:r>
              <w:t xml:space="preserve">Ready for testing</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37</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BOB-008</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rPr>
                <w:b/>
                <w:bCs/>
              </w:rPr>
              <w:t xml:space="preserve">OPERATOR DECISION (2026-08-26, §11.4.66 interactive clarification): COMPLETE THE CAPTCHA FLOW ONCE</w:t>
            </w:r>
            <w:r>
              <w:t xml:space="preserve"> </w:t>
            </w: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RuTracker automated login blocked by CAPTCHA</w:t>
            </w:r>
          </w:p>
        </w:tc>
      </w:tr>
      <w:tr>
        <w:tc>
          <w:tcPr/>
          <w:p>
            <w:pPr>
              <w:pStyle w:val="Compact"/>
            </w:pPr>
            <w:r>
              <w:t xml:space="preserve">BOB-065</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P2: Egress diagnosis and VPN-host SOCKS routing (containers pkg/egress) === ROUND-2, 2026-09-25 — the egress/VPN mechanism ALREADY EXISTS (2026-07-01, commit be5062d + submodule cde354f/e273fd2/3a52825), this item’s own tracker row was just never reconciled against it === 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 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 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 EVIDENCE: docs/qa/BOB-065/investigation_20260925.md.</w:t>
            </w:r>
          </w:p>
        </w:tc>
      </w:tr>
      <w:tr>
        <w:tc>
          <w:tcPr/>
          <w:p>
            <w:pPr>
              <w:pStyle w:val="Compact"/>
            </w:pPr>
            <w:r>
              <w:t xml:space="preserve">BOB-066</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P3: BOBA_UPSTREAM_PROXY in download-proxy + qBitTorrent-go + Jackett + compose env-forward</w:t>
            </w:r>
          </w:p>
        </w:tc>
      </w:tr>
      <w:tr>
        <w:tc>
          <w:tcPr/>
          <w:p>
            <w:pPr>
              <w:pStyle w:val="Compact"/>
            </w:pPr>
            <w:r>
              <w:t xml:space="preserve">BOB-068</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RD2-00: unattributed, unreviewed Auto-commit mechanism pushing to main</w:t>
            </w:r>
          </w:p>
        </w:tc>
      </w:tr>
      <w:tr>
        <w:tc>
          <w:tcPr/>
          <w:p>
            <w:pPr>
              <w:pStyle w:val="Compact"/>
            </w:pPr>
            <w:r>
              <w:t xml:space="preserve">BOB-069</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RD2-40: §11.4.238 QA-discovery-channel ledger — ongoing coverage-escape backfill</w:t>
            </w:r>
          </w:p>
        </w:tc>
      </w:tr>
      <w:tr>
        <w:tc>
          <w:tcPr/>
          <w:p>
            <w:pPr>
              <w:pStyle w:val="Compact"/>
            </w:pPr>
            <w:r>
              <w:t xml:space="preserve">BOB-074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RD2-07: DDoS-class testing fully absent from the mandated test-type matrix</w:t>
            </w:r>
          </w:p>
        </w:tc>
      </w:tr>
      <w:tr>
        <w:tc>
          <w:tcPr/>
          <w:p>
            <w:pPr>
              <w:pStyle w:val="Compact"/>
            </w:pPr>
            <w:r>
              <w:t xml:space="preserve">BOB-078</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RD2-11: Once identified, wire Auto-commit mechanism through §11.4.234 dedicated commit/push script OR retire it</w:t>
            </w:r>
          </w:p>
        </w:tc>
      </w:tr>
      <w:tr>
        <w:tc>
          <w:tcPr/>
          <w:p>
            <w:pPr>
              <w:pStyle w:val="Compact"/>
            </w:pPr>
            <w:r>
              <w:t xml:space="preserve">BOB-080</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RD2-13: Retroactive Fable-xhigh code review of the substantive Auto-commit diffs</w:t>
            </w:r>
          </w:p>
        </w:tc>
      </w:tr>
      <w:tr>
        <w:tc>
          <w:tcPr/>
          <w:p>
            <w:pPr>
              <w:pStyle w:val="Compact"/>
            </w:pPr>
            <w:r>
              <w:t xml:space="preserve">BOB-085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RD2-18: Create top-level Boba proxy/merge-service v1.0.0 readiness ledger (closes GA-10)</w:t>
            </w:r>
          </w:p>
        </w:tc>
      </w:tr>
      <w:tr>
        <w:tc>
          <w:tcPr/>
          <w:p>
            <w:pPr>
              <w:pStyle w:val="Compact"/>
            </w:pPr>
            <w:r>
              <w:t xml:space="preserve">BOB-090</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RD2-25: HelixQA Challenge entry exercising all three start.sh subcommands end-to-end against real compose stack</w:t>
            </w:r>
          </w:p>
        </w:tc>
      </w:tr>
      <w:tr>
        <w:tc>
          <w:tcPr/>
          <w:p>
            <w:pPr>
              <w:pStyle w:val="Compact"/>
            </w:pPr>
            <w:r>
              <w:t xml:space="preserve">BOB-093</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RD2-28: Live compose bring-up + verify rutracker ReDoS regex bounds deployed to container (closes runtime half of GA-12)</w:t>
            </w:r>
          </w:p>
        </w:tc>
      </w:tr>
      <w:tr>
        <w:tc>
          <w:tcPr/>
          <w:p>
            <w:pPr>
              <w:pStyle w:val="Compact"/>
            </w:pPr>
            <w:r>
              <w:t xml:space="preserve">BOB-094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RD2-29: Author tests/stress/test_tracker_fetch_stress_chaos.py with §11.4.85 fault injection</w:t>
            </w:r>
          </w:p>
        </w:tc>
      </w:tr>
      <w:tr>
        <w:tc>
          <w:tcPr/>
          <w:p>
            <w:pPr>
              <w:pStyle w:val="Compact"/>
            </w:pPr>
            <w:r>
              <w:t xml:space="preserve">BOB-095</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RD2-30: Author tests/stress/test_scheduler_hooks_sse_stress_chaos.py for Go-side triangle</w:t>
            </w:r>
          </w:p>
        </w:tc>
      </w:tr>
      <w:tr>
        <w:tc>
          <w:tcPr/>
          <w:p>
            <w:pPr>
              <w:pStyle w:val="Compact"/>
            </w:pPr>
            <w:r>
              <w:t xml:space="preserve">BOB-097</w:t>
            </w:r>
          </w:p>
        </w:tc>
        <w:tc>
          <w:tcPr/>
          <w:p>
            <w:pPr>
              <w:pStyle w:val="Compact"/>
            </w:pPr>
            <w:r>
              <w:t xml:space="preserve">Task</w:t>
            </w:r>
          </w:p>
        </w:tc>
        <w:tc>
          <w:tcPr/>
          <w:p>
            <w:pPr>
              <w:pStyle w:val="Compact"/>
            </w:pPr>
            <w:r>
              <w:t xml:space="preserve">In progress</w:t>
            </w:r>
          </w:p>
        </w:tc>
        <w:tc>
          <w:tcPr/>
          <w:p>
            <w:pPr>
              <w:pStyle w:val="Compact"/>
            </w:pPr>
            <w:r>
              <w:t xml:space="preserve">Low</w:t>
            </w:r>
          </w:p>
        </w:tc>
        <w:tc>
          <w:tcPr/>
          <w:p>
            <w:pPr>
              <w:pStyle w:val="Compact"/>
            </w:pPr>
            <w:r>
              <w:t xml:space="preserve">RD2-32: Author DDoS-class coverage for exposed download-proxy/merge endpoints (canonical impl of RD2-07)</w:t>
            </w:r>
          </w:p>
        </w:tc>
      </w:tr>
      <w:tr>
        <w:tc>
          <w:tcPr/>
          <w:p>
            <w:pPr>
              <w:pStyle w:val="Compact"/>
            </w:pPr>
            <w:r>
              <w:t xml:space="preserve">BOB-101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DEFER PAST v1.0.0</w:t>
            </w:r>
            <w:r>
              <w:t xml:space="preserve"> </w:t>
            </w: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GA-19/RW-09: Is –profile go parity still a release goal? (gates RW-10..13) — OPERATOR-DECISION</w:t>
            </w:r>
          </w:p>
        </w:tc>
      </w:tr>
      <w:tr>
        <w:tc>
          <w:tcPr/>
          <w:p>
            <w:pPr>
              <w:pStyle w:val="Compact"/>
            </w:pPr>
            <w:r>
              <w:t xml:space="preserve">BOB-102</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KEEP 0.0.0.0 + MANDATORY AUTH GUARD</w:t>
            </w:r>
            <w:r>
              <w:t xml:space="preserve"> </w:t>
            </w: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RW-05: LAN-exposure threat model — bind tunnel 127.0.0.1 or keep 0.0.0.0? — OPERATOR-DECISION</w:t>
            </w:r>
          </w:p>
        </w:tc>
      </w:tr>
      <w:tr>
        <w:tc>
          <w:tcPr/>
          <w:p>
            <w:pPr>
              <w:pStyle w:val="Compact"/>
            </w:pPr>
            <w:r>
              <w:t xml:space="preserve">BOB-104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CodeGraph 1.5.0 nested-.gitignore regression challenge</w:t>
            </w:r>
          </w:p>
        </w:tc>
      </w:tr>
      <w:tr>
        <w:tc>
          <w:tcPr/>
          <w:p>
            <w:pPr>
              <w:pStyle w:val="Compact"/>
            </w:pPr>
            <w:r>
              <w:t xml:space="preserve">BOB-106</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§11.4.84 quiescence-check helper for the unattributed auto-commit path === ROUND-2 PROGRESS, 2026-08-21 (discovered + independently verified 2026-09-25 via BOB-238 investigation) === 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 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 EVIDENCE: docs/qa/BOB-238/investigation_20260925.md (full citation trail).</w:t>
            </w:r>
          </w:p>
        </w:tc>
      </w:tr>
      <w:tr>
        <w:tc>
          <w:tcPr/>
          <w:p>
            <w:pPr>
              <w:pStyle w:val="Compact"/>
            </w:pPr>
            <w:r>
              <w:t xml:space="preserve">BOB-109</w:t>
            </w:r>
          </w:p>
        </w:tc>
        <w:tc>
          <w:tcPr/>
          <w:p>
            <w:pPr>
              <w:pStyle w:val="Compact"/>
            </w:pPr>
            <w:r>
              <w:t xml:space="preserve">Task</w:t>
            </w:r>
          </w:p>
        </w:tc>
        <w:tc>
          <w:tcPr/>
          <w:p>
            <w:pPr>
              <w:pStyle w:val="Compact"/>
            </w:pPr>
            <w:r>
              <w:t xml:space="preserve">Ready for testing</w:t>
            </w:r>
          </w:p>
        </w:tc>
        <w:tc>
          <w:tcPr/>
          <w:p>
            <w:pPr>
              <w:pStyle w:val="Compact"/>
            </w:pPr>
            <w:r>
              <w:t xml:space="preserve">Medium</w:t>
            </w:r>
          </w:p>
        </w:tc>
        <w:tc>
          <w:tcPr/>
          <w:p>
            <w:pPr>
              <w:pStyle w:val="Compact"/>
            </w:pPr>
            <w:r>
              <w:t xml:space="preserve">BOB-074 followup: scaling-class test coverage absent from mandated test-type matrix</w:t>
            </w:r>
          </w:p>
        </w:tc>
      </w:tr>
      <w:tr>
        <w:tc>
          <w:tcPr/>
          <w:p>
            <w:pPr>
              <w:pStyle w:val="Compact"/>
            </w:pPr>
            <w:r>
              <w:t xml:space="preserve">BOB-111</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BOB-074 followup: configure real rate limiting for boba’s 3 public HTTP endpoints</w:t>
            </w:r>
          </w:p>
        </w:tc>
      </w:tr>
      <w:tr>
        <w:tc>
          <w:tcPr/>
          <w:p>
            <w:pPr>
              <w:pStyle w:val="Compact"/>
            </w:pPr>
            <w:r>
              <w:t xml:space="preserve">BOB-121</w:t>
            </w:r>
          </w:p>
        </w:tc>
        <w:tc>
          <w:tcPr/>
          <w:p>
            <w:pPr>
              <w:pStyle w:val="Compact"/>
            </w:pPr>
            <w:r>
              <w:t xml:space="preserve">Task</w:t>
            </w:r>
          </w:p>
        </w:tc>
        <w:tc>
          <w:tcPr/>
          <w:p>
            <w:pPr>
              <w:pStyle w:val="Compact"/>
            </w:pPr>
            <w:r>
              <w:t xml:space="preserve">Ready for testing</w:t>
            </w:r>
          </w:p>
        </w:tc>
        <w:tc>
          <w:tcPr/>
          <w:p>
            <w:pPr>
              <w:pStyle w:val="Compact"/>
            </w:pPr>
            <w:r>
              <w:t xml:space="preserve">Important</w:t>
            </w:r>
          </w:p>
        </w:tc>
        <w:tc>
          <w:tcPr/>
          <w:p>
            <w:pPr>
              <w:pStyle w:val="Compact"/>
            </w:pPr>
            <w:r>
              <w:t xml:space="preserve">External watchdog for the forced-logout architectural gap (task #85, incident #3)</w:t>
            </w:r>
          </w:p>
        </w:tc>
      </w:tr>
      <w:tr>
        <w:tc>
          <w:tcPr/>
          <w:p>
            <w:pPr>
              <w:pStyle w:val="Compact"/>
            </w:pPr>
            <w:r>
              <w:t xml:space="preserve">BOB-162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r>
              <w:t xml:space="preserve"> </w:t>
            </w: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 But the GUARDS themselves are still invoked by nothing. 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 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 That is precisely the 11.4.224(E) brownfield-adoption shape, and 11.4.66/11.4.122 put the choice with the operator, not with an agent inventing a ratchet. The options, stated so the decision is a decision and not a default: (a) immediate hard floor – the seam refuses until all 14 are attributed; (b) one-time monotone-decrease ratchet (the 11.4.135 pattern) – snapshot 14 as the baseline, the count may fall and may never rise, so day one is green and the disease cannot spread; (c) changed-commits-only – gate only commits created from now on, with a scheduled deadline for the historical 14; (d) report-only for a stated period, then escalate. 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 Honest boundary (11.4.6): this item does NOT claim the 14 commits are harmful in themselves – it claims their ATTRIBUTION is absent and that nothing currently prevents the 15th.</w:t>
            </w:r>
            <w:r>
              <w:t xml:space="preserve"> </w:t>
            </w:r>
            <w:r>
              <w:rPr>
                <w:b/>
                <w:bCs/>
              </w:rPr>
              <w:t xml:space="preserve">Affected scope / file-scope manifest:</w:t>
            </w:r>
            <w:r>
              <w:t xml:space="preserve"> </w:t>
            </w:r>
            <w:r>
              <w:t xml:space="preserve">scripts/hooks/unattributed-commit-guard.sh; scripts/hooks/check-brief-inputs.sh; scripts/pre_build_verification.sh; scripts/commit-push-all.sh</w:t>
            </w:r>
            <w:r>
              <w:t xml:space="preserve"> </w:t>
            </w: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r>
              <w:t xml:space="preserve"> </w:t>
            </w: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tc>
      </w:tr>
      <w:tr>
        <w:tc>
          <w:tcPr/>
          <w:p>
            <w:pPr>
              <w:pStyle w:val="Compact"/>
            </w:pPr>
            <w:r>
              <w:t xml:space="preserve">BOB-170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 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 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 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 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 PROVENANCE. Raised as IMPORTANT-2 by the independent Fable-substrate reviewer of the BOB-109 work, and independently corroborated: the reviewer verified the SKIP is loud and prints its resolved numbers, and confirmed the shipped tests do SKIP at today’s load.</w:t>
            </w:r>
          </w:p>
        </w:tc>
      </w:tr>
      <w:tr>
        <w:tc>
          <w:tcPr/>
          <w:p>
            <w:pPr>
              <w:pStyle w:val="Compact"/>
            </w:pPr>
            <w:r>
              <w:t xml:space="preserve">BOB-172</w:t>
            </w:r>
          </w:p>
        </w:tc>
        <w:tc>
          <w:tcPr/>
          <w:p>
            <w:pPr>
              <w:pStyle w:val="Compact"/>
            </w:pPr>
            <w:r>
              <w:t xml:space="preserve">Bug</w:t>
            </w:r>
          </w:p>
        </w:tc>
        <w:tc>
          <w:tcPr/>
          <w:p>
            <w:pPr>
              <w:pStyle w:val="Compact"/>
            </w:pPr>
            <w:r>
              <w:t xml:space="preserve">Operator-blocked</w:t>
            </w:r>
          </w:p>
        </w:tc>
        <w:tc>
          <w:tcPr/>
          <w:p>
            <w:pPr>
              <w:pStyle w:val="Compact"/>
            </w:pPr>
            <w:r>
              <w:t xml:space="preserve">High</w:t>
            </w:r>
          </w:p>
        </w:tc>
        <w:tc>
          <w:tcPr/>
          <w:p>
            <w:pPr>
              <w:pStyle w:val="Compact"/>
            </w:pPr>
            <w:r>
              <w:t xml:space="preserve">WHAT. The rutracker SEARCH endpoint is refused by bot protection while the site itself is fully reachable. Measured unauthenticated 2026-08-21 (no cookie file read, no credential value in any artifact — §11.4.10): GET /forum/index.php -&gt; 200, 96283 B,</w:t>
            </w:r>
            <w:r>
              <w:t xml:space="preserve"> </w:t>
            </w:r>
          </w:p>
        </w:tc>
      </w:tr>
      <w:tr>
        <w:tc>
          <w:tcPr/>
          <w:p>
            <w:pPr>
              <w:pStyle w:val="Compact"/>
            </w:pPr>
            <w:r>
              <w:t xml:space="preserve">BOB-184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tc>
      </w:tr>
      <w:tr>
        <w:tc>
          <w:tcPr/>
          <w:p>
            <w:pPr>
              <w:pStyle w:val="Compact"/>
            </w:pPr>
            <w:r>
              <w:t xml:space="preserve">BOB-185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tc>
      </w:tr>
      <w:tr>
        <w:tc>
          <w:tcPr/>
          <w:p>
            <w:pPr>
              <w:pStyle w:val="Compact"/>
            </w:pPr>
            <w:r>
              <w:t xml:space="preserve">BOB-188</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rPr>
                <w:b/>
                <w:bCs/>
              </w:rPr>
              <w:t xml:space="preserve">OPERATOR DECISION (2026-08-26, §11.4.66 interactive clarification): UNTRACK THE BINARY — BUILD ON DEMAND</w:t>
            </w:r>
            <w:r>
              <w:t xml:space="preserve"> </w:t>
            </w: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 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 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 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 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 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 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tc>
      </w:tr>
      <w:tr>
        <w:tc>
          <w:tcPr/>
          <w:p>
            <w:pPr>
              <w:pStyle w:val="Compact"/>
            </w:pPr>
            <w:r>
              <w:t xml:space="preserve">BOB-191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 === ROUND-2 INVESTIGATION, MEASURED 2026-08-26 — THE FILED TITLE WAS TOO NARROW (§11.4.6) === 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 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 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 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 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 DEFECTS THE BLINDNESS HID → filed as BOB-204 (credential DELETE returns unconditional 204 while the .env plaintext delete error is discarded; plus the env_write_failed_db_rolled_back code asserting an unconfirmed rollback). SEPARATE SCOPE HOLE → filed as BOB-205 (cmd/boba-ctl, 947 LOC orchestrator, absent from DANGER_ROOTS entirely). Distinct-but-similar per §11.4.214, deliberately not merged. GOLDEN-FALSE FIXTURE FOR ANY FUTURE GO ARM: internal/jackettapi/auth_middleware.go:45-66 is correctly fail-CLOSED (constant-time compare, 401+return) — a Go arm MUST NOT flag it. 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 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 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 EVIDENCE: docs/qa/BOB-191/scanner_blindness_investigation_20260826.md (255 lines, §11.4.44 header). No source, gate, or config modified by the investigation. === ROUND-3 PARTIAL FIX, MEASURED 2026-09-25 — STEP (1) OF THE ROUND-2 REMEDIATION ORDER LANDED; STEP (2) STILL OPEN, ACCEPTANCE NOT YET MET === 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 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 WHAT LANDED (constitution/scripts/gates/cm_dangerous_combination_fail_closed.sh — a constitution-submodule file, inherited by reference; landing it for real still needs the submodule’s own §11.4.26 fetch/pull/push workflow, separate from boba’s commit path): -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 -</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 -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 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 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 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 EVIDENCE: docs/qa/BOB-191/closure_evidence_20260925.md (full RED/GREEN transcripts, the C++ correction with live proof, the live full-repo scan table, anti-bluff provenance). State left uncommitted by design (constitution-submodule files need the §11.4.26 workflow, not boba’s commit-push-all.sh).</w:t>
            </w:r>
          </w:p>
        </w:tc>
      </w:tr>
      <w:tr>
        <w:tc>
          <w:tcPr/>
          <w:p>
            <w:pPr>
              <w:pStyle w:val="Compact"/>
            </w:pPr>
            <w:r>
              <w:t xml:space="preserve">BOB-194</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tc>
      </w:tr>
      <w:tr>
        <w:tc>
          <w:tcPr/>
          <w:p>
            <w:pPr>
              <w:pStyle w:val="Compact"/>
            </w:pPr>
            <w:r>
              <w:t xml:space="preserve">BOB-211</w:t>
            </w:r>
          </w:p>
        </w:tc>
        <w:tc>
          <w:tcPr/>
          <w:p>
            <w:pPr>
              <w:pStyle w:val="Compact"/>
            </w:pPr>
            <w:r>
              <w:t xml:space="preserve">Bug</w:t>
            </w:r>
          </w:p>
        </w:tc>
        <w:tc>
          <w:tcPr/>
          <w:p>
            <w:pPr>
              <w:pStyle w:val="Compact"/>
            </w:pPr>
            <w:r>
              <w:t xml:space="preserve">Queued</w:t>
            </w:r>
          </w:p>
        </w:tc>
        <w:tc>
          <w:tcPr/>
          <w:p>
            <w:pPr>
              <w:pStyle w:val="Compact"/>
            </w:pPr>
            <w:r>
              <w:t xml:space="preserve">minor</w:t>
            </w:r>
          </w:p>
        </w:tc>
        <w:tc>
          <w:tcPr/>
          <w:p>
            <w:pPr>
              <w:pStyle w:val="Compac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 TWO RESIDUALS: (1)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 (2) MODE CONTRACT. vfat flattens MODE via fmask/dmask, so the preserve_mode: true / 600 contract on .env and config/boba.db would be silently unenforceable there. §11.4.10-adjacent: a credential file believed to be 600 that is world-readable by mount option is a leak the mode check cannot see. 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 ALSO RECORDED: NO test anywhere exercises a uid-flattening filesystem — vfat/exfat/ntfs/flatten/loopback/mkfs/losetup/bindfs/fusermount all measure 0 across the three ownership test files, needle-proven (probe_location = 3 hits through the same instrument). 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 DISCOVERY CHANNEL (§11.4.238): retained residual from the BOB-206 verification stream.</w:t>
            </w:r>
          </w:p>
        </w:tc>
      </w:tr>
      <w:tr>
        <w:tc>
          <w:tcPr/>
          <w:p>
            <w:pPr>
              <w:pStyle w:val="Compact"/>
            </w:pPr>
            <w:r>
              <w:t xml:space="preserve">BOB-219</w:t>
            </w:r>
          </w:p>
        </w:tc>
        <w:tc>
          <w:tcPr/>
          <w:p>
            <w:pPr>
              <w:pStyle w:val="Compact"/>
            </w:pPr>
            <w:r>
              <w:t xml:space="preserve">Bug</w:t>
            </w:r>
          </w:p>
        </w:tc>
        <w:tc>
          <w:tcPr/>
          <w:p>
            <w:pPr>
              <w:pStyle w:val="Compact"/>
            </w:pPr>
            <w:r>
              <w:t xml:space="preserve">In progress</w:t>
            </w:r>
          </w:p>
        </w:tc>
        <w:tc>
          <w:tcPr/>
          <w:p>
            <w:pPr>
              <w:pStyle w:val="Compact"/>
            </w:pPr>
            <w:r>
              <w:t xml:space="preserve">major</w:t>
            </w:r>
          </w:p>
        </w:tc>
        <w:tc>
          <w:tcPr/>
          <w:p>
            <w:pPr>
              <w:pStyle w:val="Compac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 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 WHY NOBODY SAW IT: this is a §11.4.201(6) FALSE-NULL of the BOB-212 class. git status never listed the twins, so no gate and no author had a signal. The blind instrument and the clean tree return the identical quiet zero. 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 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 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 === ROUND-2 PARTIAL CLOSURE, MEASURED 2026-09-25 — criterion 1 already done, criterion 2 unsatisfiable, criteria 3+4 done ONLY for the .md-export-twin class === Independently re-verified via</w:t>
            </w:r>
            <w:r>
              <w:t xml:space="preserve"> </w:t>
            </w:r>
            <w:r>
              <w:rPr>
                <w:rStyle w:val="VerbatimChar"/>
              </w:rPr>
              <w:t xml:space="preserve">git check-ignore -v</w:t>
            </w:r>
            <w:r>
              <w:t xml:space="preserve"> </w:t>
            </w:r>
            <w:r>
              <w:t xml:space="preserve">on all three named artifacts: 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 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 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 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 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 EVIDENCE: docs/qa/BOB-219/closure_evidence_20260925.md (full command transcripts: before/after git check-ignore, the .txt-wide-rescue safety experiment, 7-arm test output, standalone gate invocation against the real repo).</w:t>
            </w:r>
          </w:p>
        </w:tc>
      </w:tr>
      <w:tr>
        <w:tc>
          <w:tcPr/>
          <w:p>
            <w:pPr>
              <w:pStyle w:val="Compact"/>
            </w:pPr>
            <w:r>
              <w:t xml:space="preserve">BOB-231</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tc>
      </w:tr>
      <w:tr>
        <w:tc>
          <w:tcPr/>
          <w:p>
            <w:pPr>
              <w:pStyle w:val="Compact"/>
            </w:pPr>
            <w:r>
              <w:t xml:space="preserve">BOB-235</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tc>
      </w:tr>
      <w:tr>
        <w:tc>
          <w:tcPr/>
          <w:p>
            <w:pPr>
              <w:pStyle w:val="Compact"/>
            </w:pPr>
            <w:r>
              <w:t xml:space="preserve">BOB-237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 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 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 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 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 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 DISCOVERY CHANNEL (§11.4.238): found by boba’s own pre-build sweep (scripts/pre_build_verification.sh, invariant 38/57) during a routine session commit — the automated gate itself is the discoverer, exactly as §11.4.238 requires.</w:t>
            </w:r>
          </w:p>
        </w:tc>
      </w:tr>
      <w:tr>
        <w:tc>
          <w:tcPr/>
          <w:p>
            <w:pPr>
              <w:pStyle w:val="Compact"/>
            </w:pPr>
            <w:r>
              <w:t xml:space="preserve">BOB-242</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BOB-223 closed the incentive inversion where writing a §11.4.18-mandated docs/scripts/</w:t>
            </w:r>
            <w:r>
              <w:t xml:space="preserve">.md companion doc tripped invariant 16 while the mandate requiring the doc to exist (CM-SCRIPT-DOCS-SYNC) has zero implementation, and the doc’s required §11.4.44 revision header (CM-DOC-REVISION-HEADER-PRESENT) is likewise unenforced outside one unrelated ledger file. Both are now registered as explicit GATE-DEBT REGISTER deferrals in scripts/pre_build_verification.sh, satisfying §11.4.227(A)’s bar for now, but the underlying mandates remain unenforced. This item implements BOTH: (1) walk every</w:t>
            </w:r>
            <w:r>
              <w:t xml:space="preserve"> </w:t>
            </w:r>
            <w:r>
              <w:rPr>
                <w:i/>
                <w:iCs/>
              </w:rPr>
              <w:t xml:space="preserve">.sh/</w:t>
            </w:r>
            <w:r>
              <w:t xml:space="preserve">.bash under scripts/, require a docs/scripts/</w:t>
            </w:r>
            <w:r>
              <w:t xml:space="preserve">.md companion (24 of 36 currently lack one per BOB-151’s own count), verify same-commit-or-newer mtime per §11.4.18’s literal text; (2) require every in-scope companion doc to carry</w:t>
            </w:r>
            <w:r>
              <w:t xml:space="preserve"> </w:t>
            </w:r>
            <w:r>
              <w:rPr>
                <w:b/>
                <w:bCs/>
              </w:rPr>
              <w:t xml:space="preserve">Revision:</w:t>
            </w:r>
            <w:r>
              <w:t xml:space="preserve">/</w:t>
            </w:r>
            <w:r>
              <w:rPr>
                <w:b/>
                <w:bCs/>
              </w:rPr>
              <w:t xml:space="preserve">Last modified:</w:t>
            </w:r>
            <w:r>
              <w:t xml:space="preserve"> </w:t>
            </w:r>
            <w:r>
              <w:t xml:space="preserve">per §11.4.44. Both need an operator brownfield-adoption decision (§11.4.224(E)/§11.4.66 – immediate hard floor vs. monotone-decrease ratchet vs. changed-files-only), a paired §1.1 mutation each, and – once landed – removal of both DEFERRED: lines from the GATE-DEBT REGISTER in scripts/pre_build_verification.sh. Duplicate-of/originating-from: BOB-223, BOB-151. Also recommend adding two rows to constitution/scripts/gates/gate_ledger_deferrals.tsv (the constitution submodule’s own canonical §11.4.227(A) deferral ledger) once this new item’s ID is known.</w:t>
            </w:r>
          </w:p>
        </w:tc>
      </w:tr>
      <w:tr>
        <w:tc>
          <w:tcPr/>
          <w:p>
            <w:pPr>
              <w:pStyle w:val="Compact"/>
            </w:pPr>
            <w:r>
              <w:t xml:space="preserve">BOB-243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Discovered by a full 58-invariant pre_build_verification.sh sweep (2026-09-25) run during BOB-223 closure verification: invariant 56 (CM-GITIGNORE-SWALLOW-GUARD, §11.4.201(6), BOB-212) reports 4 first-party source files silently ignored: .specify/extensions/superspec/scripts/e2e-agent-claude.sh, .specify/extensions/superspec/scripts/e2e-smoke.sh, .specify/extensions/superspec/scripts/validate-extension-metadata.py, .specify/extensions/superspec/scripts/validate-release-archive.py – all blocked by the broad .gitignore:218 rule</w:t>
            </w:r>
            <w:r>
              <w:t xml:space="preserve"> </w:t>
            </w:r>
            <w:r>
              <w:t xml:space="preserve">‘.specify/extensions/superspec/’</w:t>
            </w:r>
            <w:r>
              <w:t xml:space="preserve">. Unrelated to BOB-223’s own scope; a genuinely new finding, not previously tracked. Remedy per the gate’s own remediation text: either rename/relocate the files so no .gitignore rule matches them, or add an explicit ! negation for them in .gitignore, then re-run the guard. Investigate first per §11.4.6/§11.4.124 whether the broad .specify/extensions/superspec/ ignore rule was intentional (e.g. to exclude a vendored/generated subtree) before narrowing it, since a careless negation could re-expose something the rule was deliberately protecting.</w:t>
            </w:r>
          </w:p>
        </w:tc>
      </w:tr>
      <w:tr>
        <w:tc>
          <w:tcPr/>
          <w:p>
            <w:pPr>
              <w:pStyle w:val="Compact"/>
            </w:pPr>
            <w:r>
              <w:t xml:space="preserve">BOB-246</w:t>
            </w:r>
          </w:p>
        </w:tc>
        <w:tc>
          <w:tcPr/>
          <w:p>
            <w:pPr>
              <w:pStyle w:val="Compact"/>
            </w:pPr>
            <w:r>
              <w:t xml:space="preserve">Bug</w:t>
            </w:r>
          </w:p>
        </w:tc>
        <w:tc>
          <w:tcPr/>
          <w:p>
            <w:pPr>
              <w:pStyle w:val="Compact"/>
            </w:pPr>
            <w:r>
              <w:t xml:space="preserve">In progress</w:t>
            </w:r>
          </w:p>
        </w:tc>
        <w:tc>
          <w:tcPr/>
          <w:p>
            <w:pPr>
              <w:pStyle w:val="Compact"/>
            </w:pPr>
            <w:r>
              <w:t xml:space="preserve">Critical</w:t>
            </w:r>
          </w:p>
        </w:tc>
        <w:tc>
          <w:tcPr/>
          <w:p>
            <w:pPr>
              <w:pStyle w:val="Compact"/>
            </w:pPr>
            <w:r>
              <w:t xml:space="preserve">Discovered 2026-09-25 by a subagent implementing 003-zero-shortcomings-audit Task 1, independently reproduced in isolation. scripts/commit-push-all.sh’s argument parser stops reading flags at the first non-flag token; when –scope</w:t>
            </w:r>
            <w:r>
              <w:t xml:space="preserve"> </w:t>
            </w:r>
            <w:r>
              <w:t xml:space="preserve"> </w:t>
            </w:r>
            <w:r>
              <w:t xml:space="preserve">flags are placed AFTER the commit-message positional argument (exactly as tasks.md’s own Step 5 template shows for every task in the 003-zero-shortcomings-audit plan, e.g. </w:t>
            </w:r>
            <w:r>
              <w:t xml:space="preserve">“bash scripts/commit-push-all.sh "</w:t>
            </w:r>
            <w:r>
              <w:t xml:space="preserve">" –scope</w:t>
            </w:r>
            <w:r>
              <w:t xml:space="preserve"> </w:t>
            </w:r>
            <w:r>
              <w:t xml:space="preserve">”</w:t>
            </w:r>
            <w:r>
              <w:t xml:space="preserve">), the –scope flags are silently swallowed as if they were part of the message, no error or warning is emitted, and the script falls through to its unconditional/unscoped git add -A path. Real-world consequence (2026-09-25): following that exact template ordering caused a scoped Task-1 commit to instead sweep in 5 files – the intended 2, a sibling task’s 2 legitimate-but-not-yet-reviewed files, and a DELIBERATELY-uncommitted, known-broken/hanging test file (tests/ddos/test_sse_stream_stress_chaos.py, see BOB-097 diary entry_id=16) – and PUSH all of it to two remote git hosts before the mistake was caught. No data was lost, nothing was force-pushed, but a silent full-tree-sweep on a routine commit is a serious safety gap in a script this project’s own constitution names as the ONLY sanctioned commit path. Root cause: the parser’s flag/positional-arg interleaving logic assumes flags always precede the message and never validates that assumption or warns when scope flags appear post-message. Remediation: (1) make the parser accept –scope flags in ANY position relative to the message (getopts-style two-pass parsing, or explicit flag-then-positional-then-more-flags handling), OR (2) at minimum, detect scope-flag-shaped tokens appearing after the first positional argument and REFUSE with a loud error rather than silently falling back to git add -A – a parser that cannot tell</w:t>
            </w:r>
            <w:r>
              <w:t xml:space="preserve"> </w:t>
            </w:r>
            <w:r>
              <w:t xml:space="preserve">‘no –scope given, unscoped commit intended’</w:t>
            </w:r>
            <w:r>
              <w:t xml:space="preserve"> </w:t>
            </w:r>
            <w:r>
              <w:t xml:space="preserve">apart from</w:t>
            </w:r>
            <w:r>
              <w:t xml:space="preserve"> </w:t>
            </w:r>
            <w:r>
              <w:t xml:space="preserve">‘–scope given but in the wrong position’</w:t>
            </w:r>
            <w:r>
              <w:t xml:space="preserve"> </w:t>
            </w:r>
            <w:r>
              <w:t xml:space="preserve">is itself a §11.4.201(1) false-negative-class defect. (3) Audit and fix tasks.md’s own Step 5 example ordering across every task (flags before the message, matching the working pattern used successfully elsewhere this session) so the plan itself does not keep tripping this bug for every future task implementer.</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2026-09-25T17:12:41Z</dcterms:created>
  <dcterms:modified xsi:type="dcterms:W3CDTF">2026-09-25T17:12:41Z</dcterms:modified>
</cp:coreProperties>
</file>

<file path=docProps/custom.xml><?xml version="1.0" encoding="utf-8"?>
<Properties xmlns="http://schemas.openxmlformats.org/officeDocument/2006/custom-properties" xmlns:vt="http://schemas.openxmlformats.org/officeDocument/2006/docPropsVTypes"/>
</file>