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faee2ed11a9ab95be2d182c4cc3e65199b8395"/>
    <w:p>
      <w:pPr>
        <w:pStyle w:val="Heading1"/>
      </w:pPr>
      <w:r>
        <w:t xml:space="preserve">scripts/generate_markdown_exports.sh — the §11.4.65 document-twin exporter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2026-09-26T12:54:43Z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scripts/generate_markdown_exports.sh</w:t>
      </w:r>
      <w:r>
        <w:t xml:space="preserve"> </w:t>
      </w:r>
      <w:r>
        <w:t xml:space="preserve">is the project’s canonical</w:t>
      </w:r>
      <w:r>
        <w:t xml:space="preserve"> </w:t>
      </w:r>
      <w:r>
        <w:t xml:space="preserve">§11.4.65 exporter. For every in-scope</w:t>
      </w:r>
      <w:r>
        <w:t xml:space="preserve"> </w:t>
      </w:r>
      <w:r>
        <w:rPr>
          <w:rStyle w:val="VerbatimChar"/>
        </w:rPr>
        <w:t xml:space="preserve">*.md</w:t>
      </w:r>
      <w:r>
        <w:t xml:space="preserve"> </w:t>
      </w:r>
      <w:r>
        <w:t xml:space="preserve">source it produces the sibling</w:t>
      </w:r>
      <w:r>
        <w:t xml:space="preserve"> </w:t>
      </w:r>
      <w:r>
        <w:t xml:space="preserve">document twins: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41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Twin</w:t>
            </w:r>
          </w:p>
        </w:tc>
        <w:tc>
          <w:tcPr/>
          <w:p>
            <w:pPr>
              <w:pStyle w:val="Compact"/>
            </w:pPr>
            <w:r>
              <w:t xml:space="preserve">Produced by</w:t>
            </w:r>
          </w:p>
        </w:tc>
        <w:tc>
          <w:tcPr/>
          <w:p>
            <w:pPr>
              <w:pStyle w:val="Compact"/>
            </w:pPr>
            <w:r>
              <w:t xml:space="preserve">Present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--standalone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python-markdown</w:t>
            </w:r>
          </w:p>
        </w:tc>
        <w:tc>
          <w:tcPr/>
          <w:p>
            <w:pPr>
              <w:pStyle w:val="Compact"/>
            </w:pPr>
            <w:r>
              <w:t xml:space="preserve">always (one leg or the other must exist)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rendering the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CLI is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 -f markdown -t docx</w:t>
            </w:r>
            <w:r>
              <w:t xml:space="preserve"> </w:t>
            </w:r>
            <w:r>
              <w:t xml:space="preserve">(direct from the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, BOB-011)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pandoc</w:t>
            </w:r>
            <w:r>
              <w:t xml:space="preserve"> </w:t>
            </w:r>
            <w:r>
              <w:t xml:space="preserve">is on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</w:tbl>
    <w:p>
      <w:pPr>
        <w:pStyle w:val="BodyText"/>
      </w:pPr>
      <w:r>
        <w:t xml:space="preserve">It is the script the pre-build sync invariant,</w:t>
      </w:r>
      <w:r>
        <w:t xml:space="preserve"> </w:t>
      </w:r>
      <w:r>
        <w:rPr>
          <w:rStyle w:val="VerbatimChar"/>
        </w:rPr>
        <w:t xml:space="preserve">scripts/compute-badges.sh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scripts/testing/update_readme_doc_links.sh</w:t>
      </w:r>
      <w:r>
        <w:t xml:space="preserve"> </w:t>
      </w:r>
      <w:r>
        <w:t xml:space="preserve">all sit downstream of.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Every leg is</w:t>
      </w:r>
      <w:r>
        <w:t xml:space="preserve"> </w:t>
      </w:r>
      <w:r>
        <w:rPr>
          <w:b/>
          <w:bCs/>
        </w:rPr>
        <w:t xml:space="preserve">optional and independently degradable</w:t>
      </w:r>
      <w:r>
        <w:t xml:space="preserve">, and a leg that cannot</w:t>
      </w:r>
      <w:r>
        <w:t xml:space="preserve"> </w:t>
      </w:r>
      <w:r>
        <w:t xml:space="preserve">run writes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the script never emits a blank or placeholder file</w:t>
      </w:r>
      <w:r>
        <w:t xml:space="preserve"> </w:t>
      </w:r>
      <w:r>
        <w:t xml:space="preserve">(§11.4.3 honest SKIP, §11.4.6 no fabricated output).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</w:t>
      </w:r>
      <w:r>
        <w:t xml:space="preserve"> </w:t>
      </w:r>
      <w:r>
        <w:t xml:space="preserve">— HTML + DOCX. The highest-fidelity path.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CLI</w:t>
      </w:r>
      <w:r>
        <w:t xml:space="preserve">, not the Python module) — PDF.</w:t>
      </w:r>
    </w:p>
    <w:p>
      <w:pPr>
        <w:pStyle w:val="Compact"/>
        <w:numPr>
          <w:ilvl w:val="0"/>
          <w:numId w:val="1001"/>
        </w:numPr>
      </w:pPr>
      <w:r>
        <w:t xml:space="preserve">a Python interpreter that can</w:t>
      </w:r>
      <w:r>
        <w:t xml:space="preserve"> </w:t>
      </w:r>
      <w:r>
        <w:rPr>
          <w:rStyle w:val="VerbatimChar"/>
        </w:rPr>
        <w:t xml:space="preserve">import markdown</w:t>
      </w:r>
      <w:r>
        <w:t xml:space="preserve"> </w:t>
      </w:r>
      <w:r>
        <w:t xml:space="preserve">— the HTML fallback used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absent.</w:t>
      </w:r>
    </w:p>
    <w:p>
      <w:pPr>
        <w:pStyle w:val="Compact"/>
        <w:numPr>
          <w:ilvl w:val="0"/>
          <w:numId w:val="1001"/>
        </w:numPr>
      </w:pPr>
      <w:r>
        <w:t xml:space="preserve">If neither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nor a markdown-capable interpreter is found, the script</w:t>
      </w:r>
      <w:r>
        <w:t xml:space="preserve"> </w:t>
      </w:r>
      <w:r>
        <w:rPr>
          <w:b/>
          <w:bCs/>
        </w:rPr>
        <w:t xml:space="preserve">exits 1</w:t>
      </w:r>
      <w:r>
        <w:t xml:space="preserve"> </w:t>
      </w:r>
      <w:r>
        <w:t xml:space="preserve">and names both the interpreters it probed and the remedy. It</w:t>
      </w:r>
      <w:r>
        <w:t xml:space="preserve"> </w:t>
      </w:r>
      <w:r>
        <w:t xml:space="preserve">does not half-run.</w:t>
      </w:r>
    </w:p>
    <w:p>
      <w:pPr>
        <w:pStyle w:val="FirstParagraph"/>
      </w:pPr>
      <w:r>
        <w:t xml:space="preserve">All three install without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tool install weasyprint                              </w:t>
      </w:r>
      <w:r>
        <w:rPr>
          <w:rStyle w:val="CommentTok"/>
        </w:rPr>
        <w:t xml:space="preserve"># weasyprint CLI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.venv/bin/python markdown       </w:t>
      </w:r>
      <w:r>
        <w:rPr>
          <w:rStyle w:val="CommentTok"/>
        </w:rPr>
        <w:t xml:space="preserve"># python-markdown fallback</w:t>
      </w:r>
      <w:r>
        <w:br/>
      </w:r>
      <w:r>
        <w:rPr>
          <w:rStyle w:val="CommentTok"/>
        </w:rPr>
        <w:t xml:space="preserve"># pandoc: a user-local tarball unpacked under ~/.local/opt + symlinked into ~/.local/bin</w:t>
      </w:r>
    </w:p>
    <w:bookmarkEnd w:id="10"/>
    <w:bookmarkStart w:id="14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Full in-scope sweep: project root *.md + docs/**.md + scripts/**.md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scripts/generate_markdown_exports.sh</w:t>
      </w:r>
      <w:r>
        <w:br/>
      </w:r>
      <w:r>
        <w:br/>
      </w:r>
      <w:r>
        <w:rPr>
          <w:rStyle w:val="CommentTok"/>
        </w:rPr>
        <w:t xml:space="preserve"># Explicit scope — regenerate ONLY these sources' twins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scripts/generate_markdown_exports.sh CLAUDE.md docs/USER_MANUAL.md</w:t>
      </w:r>
    </w:p>
    <w:bookmarkStart w:id="11" w:name="inputs"/>
    <w:p>
      <w:pPr>
        <w:pStyle w:val="Heading3"/>
      </w:pPr>
      <w:r>
        <w:t xml:space="preserve">Inputs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$@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paths. When present,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those files are converted and the discovery sweep is skipped entirely.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$BOBA_EXPORT_PYTHON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Interpreter to use for the python-markdown leg. Absent → auto-resolved.</w:t>
            </w:r>
          </w:p>
        </w:tc>
      </w:tr>
    </w:tbl>
    <w:bookmarkEnd w:id="11"/>
    <w:bookmarkStart w:id="12" w:name="outputs"/>
    <w:p>
      <w:pPr>
        <w:pStyle w:val="Heading3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written next to each source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  <w:r>
        <w:t xml:space="preserve"> </w:t>
      </w:r>
      <w:r>
        <w:t xml:space="preserve">Counts of generated files are printed per twin type.</w:t>
      </w:r>
    </w:p>
    <w:bookmarkEnd w:id="12"/>
    <w:bookmarkStart w:id="13" w:name="exit-codes"/>
    <w:p>
      <w:pPr>
        <w:pStyle w:val="Heading3"/>
      </w:pPr>
      <w:r>
        <w:t xml:space="preserve">Exit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Completed (including</w:t>
            </w:r>
            <w:r>
              <w:t xml:space="preserve"> </w:t>
            </w:r>
            <w:r>
              <w:t xml:space="preserve">“nothing was stale”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 HTML converter available at all,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an explicitly-named argument was not an existing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file.</w:t>
            </w:r>
          </w:p>
        </w:tc>
      </w:tr>
    </w:tbl>
    <w:bookmarkEnd w:id="13"/>
    <w:bookmarkEnd w:id="14"/>
    <w:bookmarkStart w:id="15" w:name="why-the-explicit-scope-argument-exists"/>
    <w:p>
      <w:pPr>
        <w:pStyle w:val="Heading2"/>
      </w:pPr>
      <w:r>
        <w:t xml:space="preserve">Why the explicit-scope argument exists</w:t>
      </w:r>
    </w:p>
    <w:p>
      <w:pPr>
        <w:pStyle w:val="FirstParagraph"/>
      </w:pPr>
      <w:r>
        <w:t xml:space="preserve">The full sweep touches ~355 exports. A session that edits nine documents</w:t>
      </w:r>
      <w:r>
        <w:t xml:space="preserve"> </w:t>
      </w:r>
      <w:r>
        <w:t xml:space="preserve">should resync exactly those nine twins: re-rendering 346 unrelated exports</w:t>
      </w:r>
      <w:r>
        <w:t xml:space="preserve"> </w:t>
      </w:r>
      <w:r>
        <w:t xml:space="preserve">costs minutes of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time and needlessly churns the corpus that</w:t>
      </w:r>
      <w:r>
        <w:t xml:space="preserve"> </w:t>
      </w:r>
      <w:r>
        <w:rPr>
          <w:rStyle w:val="VerbatimChar"/>
        </w:rPr>
        <w:t xml:space="preserve">scripts/pre_build/check_cm_export_charset_valid.sh</w:t>
      </w:r>
      <w:r>
        <w:t xml:space="preserve"> </w:t>
      </w:r>
      <w:r>
        <w:t xml:space="preserve">measures against its</w:t>
      </w:r>
      <w:r>
        <w:t xml:space="preserve"> </w:t>
      </w:r>
      <w:r>
        <w:t xml:space="preserve">monotone ratchet baseline. Passing the changed files keeps the blast radius</w:t>
      </w:r>
      <w:r>
        <w:t xml:space="preserve"> </w:t>
      </w:r>
      <w:r>
        <w:t xml:space="preserve">equal to the change.</w:t>
      </w:r>
    </w:p>
    <w:p>
      <w:pPr>
        <w:pStyle w:val="BodyText"/>
      </w:pPr>
      <w:r>
        <w:t xml:space="preserve">An argument that is not an existing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is a</w:t>
      </w:r>
      <w:r>
        <w:t xml:space="preserve"> </w:t>
      </w:r>
      <w:r>
        <w:rPr>
          <w:b/>
          <w:bCs/>
        </w:rPr>
        <w:t xml:space="preserve">hard error</w:t>
      </w:r>
      <w:r>
        <w:t xml:space="preserve">, never a</w:t>
      </w:r>
      <w:r>
        <w:t xml:space="preserve"> </w:t>
      </w:r>
      <w:r>
        <w:t xml:space="preserve">silent skip — a typo’d path must not be able to masquerade as</w:t>
      </w:r>
      <w:r>
        <w:t xml:space="preserve"> </w:t>
      </w:r>
      <w:r>
        <w:t xml:space="preserve">“nothing to</w:t>
      </w:r>
      <w:r>
        <w:t xml:space="preserve"> </w:t>
      </w:r>
      <w:r>
        <w:t xml:space="preserve">do”</w:t>
      </w:r>
      <w:r>
        <w:t xml:space="preserve"> </w:t>
      </w:r>
      <w:r>
        <w:t xml:space="preserve">(§11.4.201(6): a quiet zero from a blind instrument is indistinguishable</w:t>
      </w:r>
      <w:r>
        <w:t xml:space="preserve"> </w:t>
      </w:r>
      <w:r>
        <w:t xml:space="preserve">from a clean corpus).</w:t>
      </w:r>
    </w:p>
    <w:bookmarkEnd w:id="15"/>
    <w:bookmarkStart w:id="19" w:name="idempotency-and-the-staleness-rule"/>
    <w:p>
      <w:pPr>
        <w:pStyle w:val="Heading2"/>
      </w:pPr>
      <w:r>
        <w:t xml:space="preserve">Idempotency and the staleness rule</w:t>
      </w:r>
    </w:p>
    <w:p>
      <w:pPr>
        <w:pStyle w:val="FirstParagraph"/>
      </w:pPr>
      <w:r>
        <w:t xml:space="preserve">Re-running is a no-op: a second run over unchanged sources rewrites nothing</w:t>
      </w:r>
      <w:r>
        <w:t xml:space="preserve"> </w:t>
      </w:r>
      <w:r>
        <w:t xml:space="preserve">and leaves every twin byte-identical.</w:t>
      </w:r>
    </w:p>
    <w:bookmarkStart w:id="16" w:name="X01f1401d0fb5af2b42cb1e8cb9967a3eb1d492c"/>
    <w:p>
      <w:pPr>
        <w:pStyle w:val="Heading3"/>
      </w:pPr>
      <w:r>
        <w:t xml:space="preserve">Staleness uses the same oracle as the pre-build gate (BOB-249)</w:t>
      </w:r>
    </w:p>
    <w:p>
      <w:pPr>
        <w:pStyle w:val="FirstParagraph"/>
      </w:pPr>
      <w:r>
        <w:t xml:space="preserve">The writer decides whether a twin is stale with</w:t>
      </w:r>
      <w:r>
        <w:t xml:space="preserve"> </w:t>
      </w:r>
      <w:r>
        <w:rPr>
          <w:rStyle w:val="VerbatimChar"/>
        </w:rPr>
        <w:t xml:space="preserve">scripts/lib/export_staleness.sh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content-history oracle</w:t>
      </w:r>
      <w:r>
        <w:t xml:space="preserve"> </w:t>
      </w:r>
      <w:r>
        <w:rPr>
          <w:rStyle w:val="VerbatimChar"/>
        </w:rPr>
        <w:t xml:space="preserve">CM-MARKDOWN-EXPORT-SYNC</w:t>
      </w:r>
      <w:r>
        <w:t xml:space="preserve"> </w:t>
      </w:r>
      <w:r>
        <w:t xml:space="preserve">(pre-build invariant 16) uses, so writer and gate</w:t>
      </w:r>
      <w:r>
        <w:t xml:space="preserve"> </w:t>
      </w:r>
      <w:r>
        <w:t xml:space="preserve">agree on what</w:t>
      </w:r>
      <w:r>
        <w:t xml:space="preserve"> </w:t>
      </w:r>
      <w:r>
        <w:t xml:space="preserve">“stale”</w:t>
      </w:r>
      <w:r>
        <w:t xml:space="preserve"> </w:t>
      </w:r>
      <w:r>
        <w:t xml:space="preserve">means: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 missing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(or twin) locally edited / untracked</w:t>
            </w:r>
          </w:p>
        </w:tc>
        <w:tc>
          <w:tcPr/>
          <w:p>
            <w:pPr>
              <w:pStyle w:val="Compact"/>
            </w:pPr>
            <w:r>
              <w:t xml:space="preserve">stale when the twin’s mtime is older (mtime is meaningful here)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both committed and clean</w:t>
            </w:r>
          </w:p>
        </w:tc>
        <w:tc>
          <w:tcPr/>
          <w:p>
            <w:pPr>
              <w:pStyle w:val="Compact"/>
            </w:pPr>
            <w:r>
              <w:t xml:space="preserve">stale only when the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’s last-touching commit is more recent than the twin’s (git history, never mtime)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outside any git work tree, or the lib missing next to the script</w:t>
            </w:r>
          </w:p>
        </w:tc>
        <w:tc>
          <w:tcPr/>
          <w:p>
            <w:pPr>
              <w:pStyle w:val="Compact"/>
            </w:pPr>
            <w:r>
              <w:t xml:space="preserve">plain mtime fallback, announced on stderr when the lib is missing</w:t>
            </w:r>
          </w:p>
        </w:tc>
      </w:tr>
    </w:tbl>
    <w:p>
      <w:pPr>
        <w:pStyle w:val="BodyText"/>
      </w:pPr>
      <w:r>
        <w:t xml:space="preserve">Why not mtime: a fresh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x.docx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x.html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x.md</w:t>
      </w:r>
      <w:r>
        <w:t xml:space="preserve"> </w:t>
      </w:r>
      <w:r>
        <w:t xml:space="preserve">(path order), so on a scratch clone 226 of 456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were</w:t>
      </w:r>
      <w:r>
        <w:t xml:space="preserve"> </w:t>
      </w:r>
      <w:r>
        <w:t xml:space="preserve">strictly newer than their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 42 than their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. The old</w:t>
      </w:r>
      <w:r>
        <w:t xml:space="preserve"> </w:t>
      </w:r>
      <w:r>
        <w:t xml:space="preserve">mtime-only writer rewrote all 310 of those twins with zero content change.</w:t>
      </w:r>
      <w:r>
        <w:t xml:space="preserve"> </w:t>
      </w:r>
      <w:r>
        <w:t xml:space="preserve">With the oracle the same fresh checkout rewrites</w:t>
      </w:r>
      <w:r>
        <w:t xml:space="preserve"> </w:t>
      </w:r>
      <w:r>
        <w:rPr>
          <w:b/>
          <w:bCs/>
        </w:rPr>
        <w:t xml:space="preserve">0</w:t>
      </w:r>
      <w:r>
        <w:t xml:space="preserve">, while a real content</w:t>
      </w:r>
      <w:r>
        <w:t xml:space="preserve"> </w:t>
      </w:r>
      <w:r>
        <w:t xml:space="preserve">edit of 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still regenerates all three twins.</w:t>
      </w:r>
    </w:p>
    <w:bookmarkEnd w:id="16"/>
    <w:bookmarkStart w:id="17" w:name="byte-stable-output-source_date_epoch"/>
    <w:p>
      <w:pPr>
        <w:pStyle w:val="Heading3"/>
      </w:pPr>
      <w:r>
        <w:t xml:space="preserve">Byte-stable output (SOURCE_DATE_EPOCH)</w:t>
      </w:r>
    </w:p>
    <w:p>
      <w:pPr>
        <w:pStyle w:val="FirstParagraph"/>
      </w:pPr>
      <w:r>
        <w:t xml:space="preserve">pandoc stamps the wall-clock time into every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docProps/core.xml</w:t>
      </w:r>
      <w:r>
        <w:t xml:space="preserve">),</w:t>
      </w:r>
      <w:r>
        <w:t xml:space="preserve"> </w:t>
      </w:r>
      <w:r>
        <w:t xml:space="preserve">so each regeneration used to be a byte-different file. The script now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per file before rendering: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’s last-commit time (</w:t>
      </w:r>
      <w:r>
        <w:rPr>
          <w:rStyle w:val="VerbatimChar"/>
        </w:rPr>
        <w:t xml:space="preserve">git log -1 --format=%ct -- &lt;md&gt;</w:t>
      </w:r>
      <w:r>
        <w:t xml:space="preserve">), so the</w:t>
      </w:r>
      <w:r>
        <w:t xml:space="preserve"> </w:t>
      </w:r>
      <w:r>
        <w:t xml:space="preserve">stamp is a property of the source history, identical in every clone;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1785674948</w:t>
      </w:r>
      <w:r>
        <w:t xml:space="preserve"> </w:t>
      </w:r>
      <w:r>
        <w:t xml:space="preserve">(2026-08-02T12:49:08Z, the value</w:t>
      </w:r>
      <w:r>
        <w:t xml:space="preserve"> </w:t>
      </w:r>
      <w:r>
        <w:rPr>
          <w:rStyle w:val="VerbatimChar"/>
        </w:rPr>
        <w:t xml:space="preserve">constitution/scripts/render/render-governance-twins.sh</w:t>
      </w:r>
      <w:r>
        <w:t xml:space="preserve"> </w:t>
      </w:r>
      <w:r>
        <w:t xml:space="preserve">pins) for a</w:t>
      </w:r>
      <w:r>
        <w:t xml:space="preserve"> </w:t>
      </w:r>
      <w:r>
        <w:t xml:space="preserve">never-committed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the caller already exported wins.</w:t>
      </w:r>
    </w:p>
    <w:p>
      <w:pPr>
        <w:pStyle w:val="FirstParagraph"/>
      </w:pPr>
      <w:r>
        <w:t xml:space="preserve">Regenerating identical content twice now yields a byte-identical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69.0 PDFs were already byte-stable (measured); HTML from</w:t>
      </w:r>
      <w:r>
        <w:t xml:space="preserve"> </w:t>
      </w:r>
      <w:r>
        <w:rPr>
          <w:rStyle w:val="VerbatimChar"/>
        </w:rPr>
        <w:t xml:space="preserve">pandoc --standalone</w:t>
      </w:r>
      <w:r>
        <w:t xml:space="preserve"> </w:t>
      </w:r>
      <w:r>
        <w:t xml:space="preserve">carries no timestamp.</w:t>
      </w:r>
      <w:r>
        <w:t xml:space="preserve"> </w:t>
      </w:r>
      <w:r>
        <w:rPr>
          <w:b/>
          <w:bCs/>
        </w:rPr>
        <w:t xml:space="preserve">Limit:</w:t>
      </w:r>
      <w:r>
        <w:t xml:space="preserve"> </w:t>
      </w:r>
      <w:r>
        <w:t xml:space="preserve">a twin rendered while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still uncommitted carries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commit’s time; a forced</w:t>
      </w:r>
      <w:r>
        <w:t xml:space="preserve"> </w:t>
      </w:r>
      <w:r>
        <w:t xml:space="preserve">re-render after that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is committed carries the new one. Output is</w:t>
      </w:r>
      <w:r>
        <w:t xml:space="preserve"> </w:t>
      </w:r>
      <w:r>
        <w:t xml:space="preserve">deterministic per (content, history), not per content alone.</w:t>
      </w:r>
    </w:p>
    <w:bookmarkEnd w:id="17"/>
    <w:bookmarkStart w:id="18" w:name="the-charset-self-heal-rule"/>
    <w:p>
      <w:pPr>
        <w:pStyle w:val="Heading3"/>
      </w:pPr>
      <w:r>
        <w:t xml:space="preserve">The charset self-heal rule</w:t>
      </w:r>
    </w:p>
    <w:p>
      <w:pPr>
        <w:pStyle w:val="FirstParagraph"/>
      </w:pPr>
      <w:r>
        <w:t xml:space="preserve">Staleness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history alone. An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that exists and is mtime-fresh</w:t>
      </w:r>
      <w:r>
        <w:t xml:space="preserve"> </w:t>
      </w:r>
      <w:r>
        <w:t xml:space="preserve">but declares</w:t>
      </w:r>
      <w:r>
        <w:t xml:space="preserve"> </w:t>
      </w:r>
      <w:r>
        <w:rPr>
          <w:b/>
          <w:bCs/>
        </w:rPr>
        <w:t xml:space="preserve">no charset</w:t>
      </w:r>
      <w:r>
        <w:t xml:space="preserve"> </w:t>
      </w:r>
      <w:r>
        <w:t xml:space="preserve">is treated as STALE and regenerated, because such</w:t>
      </w:r>
      <w:r>
        <w:t xml:space="preserve"> </w:t>
      </w:r>
      <w:r>
        <w:t xml:space="preserve">a file is a pre-BOB-169 charset-less fragment that would otherwise persist</w:t>
      </w:r>
      <w:r>
        <w:t xml:space="preserve"> </w:t>
      </w:r>
      <w:r>
        <w:t xml:space="preserve">forever and keep re-baking mojibake into any PDF rendered from it. PDF</w:t>
      </w:r>
      <w:r>
        <w:t xml:space="preserve"> </w:t>
      </w:r>
      <w:r>
        <w:t xml:space="preserve">staleness additionally keys on the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(the PDF is derived from it), so</w:t>
      </w:r>
      <w:r>
        <w:t xml:space="preserve"> </w:t>
      </w:r>
      <w:r>
        <w:t xml:space="preserve">healing the HTML half cannot leave a corrupt PDF behind. An HTML regenerated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run always re-derives its PDF explicitly: the oracle caches</w:t>
      </w:r>
      <w:r>
        <w:t xml:space="preserve"> </w:t>
      </w:r>
      <w:r>
        <w:t xml:space="preserve">the working-tree state once per run, so to it a just-rewritten HTML still</w:t>
      </w:r>
      <w:r>
        <w:t xml:space="preserve"> </w:t>
      </w:r>
      <w:r>
        <w:t xml:space="preserve">looks clean.</w:t>
      </w:r>
    </w:p>
    <w:bookmarkEnd w:id="18"/>
    <w:bookmarkEnd w:id="19"/>
    <w:bookmarkStart w:id="23" w:name="internal-behaviour-worth-knowing"/>
    <w:p>
      <w:pPr>
        <w:pStyle w:val="Heading2"/>
      </w:pPr>
      <w:r>
        <w:t xml:space="preserve">Internal behaviour worth knowing</w:t>
      </w:r>
    </w:p>
    <w:bookmarkStart w:id="20" w:name="X03819369ec2a8a1fe3823a5b41788a4e699a903"/>
    <w:p>
      <w:pPr>
        <w:pStyle w:val="Heading3"/>
      </w:pPr>
      <w:r>
        <w:t xml:space="preserve">Capability probes test the artifact, not a prerequisite</w:t>
      </w:r>
    </w:p>
    <w:p>
      <w:pPr>
        <w:pStyle w:val="FirstParagraph"/>
      </w:pPr>
      <w:r>
        <w:t xml:space="preserve">The weasyprint probe runs</w:t>
      </w:r>
      <w:r>
        <w:t xml:space="preserve"> </w:t>
      </w:r>
      <w:r>
        <w:rPr>
          <w:rStyle w:val="VerbatimChar"/>
        </w:rPr>
        <w:t xml:space="preserve">weasyprint --version</w:t>
      </w:r>
      <w:r>
        <w:t xml:space="preserve"> </w:t>
      </w:r>
      <w:r>
        <w:t xml:space="preserve">— the real entry point the</w:t>
      </w:r>
      <w:r>
        <w:t xml:space="preserve"> </w:t>
      </w:r>
      <w:r>
        <w:t xml:space="preserve">render path uses. It previously also required</w:t>
      </w:r>
      <w:r>
        <w:t xml:space="preserve"> </w:t>
      </w:r>
      <w:r>
        <w:rPr>
          <w:rStyle w:val="VerbatimChar"/>
        </w:rPr>
        <w:t xml:space="preserve">python3 -c "from weasyprint import HTML"</w:t>
      </w:r>
      <w:r>
        <w:t xml:space="preserve"> </w:t>
      </w:r>
      <w:r>
        <w:t xml:space="preserve">to succeed, which is a</w:t>
      </w:r>
      <w:r>
        <w:t xml:space="preserve"> </w:t>
      </w:r>
      <w:r>
        <w:rPr>
          <w:b/>
          <w:bCs/>
        </w:rPr>
        <w:t xml:space="preserve">prerequisite</w:t>
      </w:r>
      <w:r>
        <w:t xml:space="preserve"> </w:t>
      </w:r>
      <w:r>
        <w:t xml:space="preserve">probe, not an artifact probe: a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CLI installed</w:t>
      </w:r>
      <w:r>
        <w:t xml:space="preserve"> </w:t>
      </w:r>
      <w:r>
        <w:t xml:space="preserve">into its own isolated environment (</w:t>
      </w:r>
      <w:r>
        <w:rPr>
          <w:rStyle w:val="VerbatimChar"/>
        </w:rPr>
        <w:t xml:space="preserve">uv tool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pipx</w:t>
      </w:r>
      <w:r>
        <w:t xml:space="preserve">, a venv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 renders PDFs perfectly while being invisible to a system-interpreter</w:t>
      </w:r>
      <w:r>
        <w:t xml:space="preserve"> </w:t>
      </w:r>
      <w:r>
        <w:t xml:space="preserve">import. On this host that made the script announce</w:t>
      </w:r>
      <w:r>
        <w:t xml:space="preserve"> </w:t>
      </w:r>
      <w:r>
        <w:rPr>
          <w:i/>
          <w:iCs/>
        </w:rPr>
        <w:t xml:space="preserve">“PDF support: not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available”</w:t>
      </w:r>
      <w:r>
        <w:t xml:space="preserve"> </w:t>
      </w:r>
      <w:r>
        <w:t xml:space="preserve">and produce</w:t>
      </w:r>
      <w:r>
        <w:t xml:space="preserve"> </w:t>
      </w:r>
      <w:r>
        <w:rPr>
          <w:b/>
          <w:bCs/>
        </w:rPr>
        <w:t xml:space="preserve">zero PDFs while exiting 0</w:t>
      </w:r>
      <w:r>
        <w:t xml:space="preserve"> </w:t>
      </w:r>
      <w:r>
        <w:t xml:space="preserve">— a false negative of</w:t>
      </w:r>
      <w:r>
        <w:t xml:space="preserve"> </w:t>
      </w:r>
      <w:r>
        <w:t xml:space="preserve">exactly the shape §11.4.201(11) names. Do not reintroduce an import-based</w:t>
      </w:r>
      <w:r>
        <w:t xml:space="preserve"> </w:t>
      </w:r>
      <w:r>
        <w:t xml:space="preserve">probe for a CLI-invoked tool.</w:t>
      </w:r>
    </w:p>
    <w:bookmarkEnd w:id="20"/>
    <w:bookmarkStart w:id="21" w:name="X00dbfa4b3b89e64c71d4e409204261ff8ef0921"/>
    <w:p>
      <w:pPr>
        <w:pStyle w:val="Heading3"/>
      </w:pPr>
      <w:r>
        <w:t xml:space="preserve">The python-markdown interpreter is resolved by trying the import</w:t>
      </w:r>
    </w:p>
    <w:p>
      <w:pPr>
        <w:pStyle w:val="FirstParagraph"/>
      </w:pPr>
      <w:r>
        <w:rPr>
          <w:rStyle w:val="VerbatimChar"/>
        </w:rPr>
        <w:t xml:space="preserve">PY_MD</w:t>
      </w:r>
      <w:r>
        <w:t xml:space="preserve"> </w:t>
      </w:r>
      <w:r>
        <w:t xml:space="preserve">is chosen by actually attempting</w:t>
      </w:r>
      <w:r>
        <w:t xml:space="preserve"> </w:t>
      </w:r>
      <w:r>
        <w:rPr>
          <w:rStyle w:val="VerbatimChar"/>
        </w:rPr>
        <w:t xml:space="preserve">import markdown</w:t>
      </w:r>
      <w:r>
        <w:t xml:space="preserve"> </w:t>
      </w:r>
      <w:r>
        <w:t xml:space="preserve">against, in order:</w:t>
      </w:r>
      <w:r>
        <w:t xml:space="preserve"> </w:t>
      </w:r>
      <w:r>
        <w:rPr>
          <w:rStyle w:val="VerbatimChar"/>
        </w:rPr>
        <w:t xml:space="preserve">$BOBA_EXPORT_PYTHON</w:t>
      </w:r>
      <w:r>
        <w:t xml:space="preserve">, the repo’s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 It is</w:t>
      </w:r>
      <w:r>
        <w:t xml:space="preserve"> </w:t>
      </w:r>
      <w:r>
        <w:t xml:space="preserve">never assumed from a path’s existence (§11.4.6). Probing only system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is insufficient here: this host’s</w:t>
      </w:r>
      <w:r>
        <w:t xml:space="preserve"> </w:t>
      </w:r>
      <w:r>
        <w:rPr>
          <w:rStyle w:val="VerbatimChar"/>
        </w:rPr>
        <w:t xml:space="preserve">/usr/bin/python3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and is PEP-668</w:t>
      </w:r>
      <w:r>
        <w:t xml:space="preserve"> </w:t>
      </w:r>
      <w:r>
        <w:rPr>
          <w:rStyle w:val="VerbatimChar"/>
        </w:rPr>
        <w:t xml:space="preserve">EXTERNALLY-MANAGED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cannot live there without</w:t>
      </w:r>
      <w:r>
        <w:t xml:space="preserve"> </w:t>
      </w:r>
      <w:r>
        <w:t xml:space="preserve">root — while the repo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holds it with no privilege at all.</w:t>
      </w:r>
    </w:p>
    <w:bookmarkEnd w:id="21"/>
    <w:bookmarkStart w:id="22" w:name="encoding-is-pinned-on-both-legs"/>
    <w:p>
      <w:pPr>
        <w:pStyle w:val="Heading3"/>
      </w:pPr>
      <w:r>
        <w:t xml:space="preserve">Encoding is pinned on both legs</w:t>
      </w:r>
    </w:p>
    <w:p>
      <w:pPr>
        <w:pStyle w:val="FirstParagraph"/>
      </w:pPr>
      <w:r>
        <w:t xml:space="preserve">The corpus carries Cyrillic (</w:t>
      </w:r>
      <w:r>
        <w:rPr>
          <w:rStyle w:val="VerbatimChar"/>
        </w:rPr>
        <w:t xml:space="preserve">Боба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§</w:t>
      </w:r>
      <w:r>
        <w:t xml:space="preserve">. The python-markdown leg opens</w:t>
      </w:r>
      <w:r>
        <w:t xml:space="preserve"> </w:t>
      </w:r>
      <w:r>
        <w:t xml:space="preserve">and writes with an explicit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rather than inheriting the</w:t>
      </w:r>
      <w:r>
        <w:t xml:space="preserve"> </w:t>
      </w:r>
      <w:r>
        <w:t xml:space="preserve">ambient locale, so a</w:t>
      </w:r>
      <w:r>
        <w:t xml:space="preserve"> 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POSIX</w:t>
      </w:r>
      <w:r>
        <w:t xml:space="preserve"> </w:t>
      </w:r>
      <w:r>
        <w:t xml:space="preserve">locale cannot mangle the read and leave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&lt;meta charset="utf-8"&gt;</w:t>
      </w:r>
      <w:r>
        <w:t xml:space="preserve"> </w:t>
      </w:r>
      <w:r>
        <w:t xml:space="preserve">advertising a lie.</w:t>
      </w:r>
    </w:p>
    <w:bookmarkEnd w:id="22"/>
    <w:bookmarkEnd w:id="23"/>
    <w:bookmarkStart w:id="24" w:name="verifying-the-output"/>
    <w:p>
      <w:pPr>
        <w:pStyle w:val="Heading2"/>
      </w:pPr>
      <w:r>
        <w:t xml:space="preserve">Verifying the output</w:t>
      </w:r>
    </w:p>
    <w:p>
      <w:pPr>
        <w:pStyle w:val="SourceCode"/>
      </w:pPr>
      <w:r>
        <w:rPr>
          <w:rStyle w:val="CommentTok"/>
        </w:rPr>
        <w:t xml:space="preserve"># charset declared on every generated export (ratcheted gate)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scripts/pre_build/check_cm_export_charset_valid.sh</w:t>
      </w:r>
      <w:r>
        <w:br/>
      </w:r>
      <w:r>
        <w:br/>
      </w:r>
      <w:r>
        <w:rPr>
          <w:rStyle w:val="CommentTok"/>
        </w:rPr>
        <w:t xml:space="preserve"># the PDF text layer really preserves non-ASCII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tests/unit/test_export_pdf_charset_integrity.sh</w:t>
      </w:r>
      <w:r>
        <w:br/>
      </w:r>
      <w:r>
        <w:br/>
      </w:r>
      <w:r>
        <w:rPr>
          <w:rStyle w:val="CommentTok"/>
        </w:rPr>
        <w:t xml:space="preserve"># DOCX shape + idempotency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tests/unit/test_docx_export.sh</w:t>
      </w:r>
      <w:r>
        <w:br/>
      </w:r>
      <w:r>
        <w:br/>
      </w:r>
      <w:r>
        <w:rPr>
          <w:rStyle w:val="CommentTok"/>
        </w:rPr>
        <w:t xml:space="preserve"># checkout-order touch rewrites nothing; content edit / missing twin /</w:t>
      </w:r>
      <w:r>
        <w:br/>
      </w:r>
      <w:r>
        <w:rPr>
          <w:rStyle w:val="CommentTok"/>
        </w:rPr>
        <w:t xml:space="preserve"># charset fragment still regenerate; docx + pdf byte-stable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tests/unit/test_generate_markdown_exports_content_staleness.sh</w:t>
      </w:r>
      <w:r>
        <w:br/>
      </w:r>
      <w:r>
        <w:br/>
      </w:r>
      <w:r>
        <w:rPr>
          <w:rStyle w:val="CommentTok"/>
        </w:rPr>
        <w:t xml:space="preserve"># the shared staleness oracle (incl. .docx history)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tests/unit/test_export_staleness_oracle.sh</w:t>
      </w:r>
    </w:p>
    <w:p>
      <w:pPr>
        <w:pStyle w:val="FirstParagraph"/>
      </w:pPr>
      <w:r>
        <w:t xml:space="preserve">When checking a heading survived into the HTML, match against a</w:t>
      </w:r>
      <w:r>
        <w:t xml:space="preserve"> </w:t>
      </w:r>
      <w:r>
        <w:rPr>
          <w:b/>
          <w:bCs/>
        </w:rPr>
        <w:t xml:space="preserve">whitespace-normalized</w:t>
      </w:r>
      <w:r>
        <w:t xml:space="preserve"> </w:t>
      </w:r>
      <w:r>
        <w:t xml:space="preserve">stream, not lines: pandoc hard-wraps its HTML at</w:t>
      </w:r>
      <w:r>
        <w:t xml:space="preserve"> </w:t>
      </w:r>
      <w:r>
        <w:t xml:space="preserve">~72 columns, so a heading routinely spans a newline and a line-oriented</w:t>
      </w:r>
      <w:r>
        <w:t xml:space="preserve"> </w:t>
      </w:r>
      <w:r>
        <w:rPr>
          <w:rStyle w:val="VerbatimChar"/>
        </w:rPr>
        <w:t xml:space="preserve">grep -F</w:t>
      </w:r>
      <w:r>
        <w:t xml:space="preserve"> </w:t>
      </w:r>
      <w:r>
        <w:t xml:space="preserve">returns a confident, wrong zero (§11.4.201(7)(c)). Remember also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is correctly emitted as</w:t>
      </w:r>
      <w:r>
        <w:t xml:space="preserve"> </w:t>
      </w:r>
      <w:r>
        <w:rPr>
          <w:rStyle w:val="VerbatimChar"/>
        </w:rPr>
        <w:t xml:space="preserve">&amp;amp;</w:t>
      </w:r>
      <w:r>
        <w:t xml:space="preserve">.</w:t>
      </w:r>
    </w:p>
    <w:bookmarkEnd w:id="24"/>
    <w:bookmarkStart w:id="25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scripts/pre_build/check_cm_export_charset_valid.sh</w:t>
      </w:r>
      <w:r>
        <w:t xml:space="preserve"> </w:t>
      </w:r>
      <w:r>
        <w:t xml:space="preserve">— the gate over this</w:t>
      </w:r>
      <w:r>
        <w:t xml:space="preserve"> </w:t>
      </w:r>
      <w:r>
        <w:t xml:space="preserve">script’s output; reads a monotone-decreasing ratchet baseline.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scripts/regenerate-continuation-exports.sh</w:t>
      </w:r>
      <w:r>
        <w:t xml:space="preserve"> </w:t>
      </w:r>
      <w:r>
        <w:t xml:space="preserve">— deliberately narrow</w:t>
      </w:r>
      <w:r>
        <w:t xml:space="preserve"> </w:t>
      </w:r>
      <w:r>
        <w:t xml:space="preserve">CONTINUATION-only regen; see its own guide for why it does not call this.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scripts/lib/export_staleness.sh</w:t>
      </w:r>
      <w:r>
        <w:t xml:space="preserve"> </w:t>
      </w:r>
      <w:r>
        <w:t xml:space="preserve">— the staleness oracle shared by this</w:t>
      </w:r>
      <w:r>
        <w:t xml:space="preserve"> </w:t>
      </w:r>
      <w:r>
        <w:t xml:space="preserve">script and the pre-build gate.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tests/unit/test_export_pdf_charset_integrity.sh</w:t>
      </w:r>
      <w:r>
        <w:t xml:space="preserve"> </w:t>
      </w:r>
      <w:r>
        <w:t xml:space="preserve">— the paired §1.1 guard.</w:t>
      </w:r>
    </w:p>
    <w:p>
      <w:pPr>
        <w:pStyle w:val="FirstParagraph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2026-09-26 — fresh scratch-clone checkout of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README.*</w:t>
      </w:r>
      <w:r>
        <w:t xml:space="preserve"> </w:t>
      </w:r>
      <w:r>
        <w:t xml:space="preserve">(456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310 twins rewritten before the fix, 0 after; a</w:t>
      </w:r>
      <w:r>
        <w:t xml:space="preserve"> </w:t>
      </w:r>
      <w:r>
        <w:t xml:space="preserve">control edit still regenerated its three twins. Content-staleness, oracle,</w:t>
      </w:r>
      <w:r>
        <w:t xml:space="preserve"> </w:t>
      </w:r>
      <w:r>
        <w:t xml:space="preserve">DOCX, PDF charset-integrity and path-argument guards all PASS.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2026-09-02T10:15:23Z</dcterms:created>
  <dcterms:modified xsi:type="dcterms:W3CDTF">2026-09-02T10:15:23Z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