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fixed-summary"/>
    <w:p>
      <w:pPr>
        <w:pStyle w:val="Heading1"/>
      </w:pPr>
      <w:r>
        <w:t xml:space="preserve">Fixed Summary</w:t>
      </w:r>
    </w:p>
    <w:p>
      <w:pPr>
        <w:pStyle w:val="FirstParagraph"/>
      </w:pPr>
      <w:r>
        <w:t xml:space="preserve">Closed-item counts by Type × Closure Status (§11.4.19 column-aligned with Issues_Summary; §11.4.53 parity).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Debt</w:t>
            </w:r>
          </w:p>
        </w:tc>
        <w:tc>
          <w:tcPr/>
          <w:p>
            <w:pPr>
              <w:pStyle w:val="Compact"/>
            </w:pPr>
            <w:r>
              <w:t xml:space="preserve">Closed (→ Fixed.md)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2026-05-31T07:43:16Z</dcterms:created>
  <dcterms:modified xsi:type="dcterms:W3CDTF">2026-05-31T07:43:16Z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