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BTC Covered Call Strategy Analysis</w:t>
      </w:r>
    </w:p>
    <w:p>
      <w:pPr>
        <w:spacing w:after="400"/>
        <w:jc w:val="center"/>
      </w:pPr>
      <w:r>
        <w:rPr>
          <w:i/>
          <w:iCs/>
          <w:sz w:val="24"/>
          <w:szCs w:val="24"/>
        </w:rPr>
        <w:t xml:space="preserve">Systematic Call Overwriting Backtest: 3-Week 20-Delta Options</w:t>
      </w:r>
    </w:p>
    <w:p>
      <w:pPr>
        <w:spacing w:after="600"/>
        <w:jc w:val="center"/>
      </w:pPr>
      <w:r>
        <w:rPr>
          <w:sz w:val="22"/>
          <w:szCs w:val="22"/>
        </w:rPr>
        <w:t xml:space="preserve">February 2026</w:t>
      </w:r>
    </w:p>
    <w:p>
      <w:pPr>
        <w:pStyle w:val="Heading1"/>
      </w:pPr>
      <w:r>
        <w:t xml:space="preserve">Executive Summary</w:t>
      </w:r>
    </w:p>
    <w:p>
      <w:pPr>
        <w:spacing w:after="200"/>
      </w:pPr>
      <w:r>
        <w:t xml:space="preserve">This report presents a comprehensive backtest of a Bitcoin covered call (call overwriting) strategy over the period January 2024 to December 2025. The strategy involves holding 1 BTC and systematically selling 3-week (21-day) call options with a 20-delta strike on a rolling daily basis.</w:t>
      </w:r>
    </w:p>
    <w:p>
      <w:pPr>
        <w:spacing w:after="200"/>
      </w:pPr>
      <w:r>
        <w:rPr>
          <w:b/>
          <w:bCs/>
        </w:rPr>
        <w:t xml:space="preserve">Key Findings: </w:t>
      </w:r>
      <w:r>
        <w:t xml:space="preserve">The covered call strategy generated $898,626 in cumulative P&amp;L compared to $935,744 for a long-only BTC position. While the covered call strategy underperformed by $37,118 in absolute terms, it delivered superior risk-adjusted returns with a Sharpe ratio of 1.10 versus 0.97 for long BTC, and significantly lower maximum drawdown ($505,397 vs $631,611).</w:t>
      </w:r>
    </w:p>
    <w:p>
      <w:pPr>
        <w:pStyle w:val="Heading1"/>
      </w:pPr>
      <w:r>
        <w:t xml:space="preserve">1. Strategy Overview</w:t>
      </w:r>
    </w:p>
    <w:p>
      <w:pPr>
        <w:pStyle w:val="Heading2"/>
      </w:pPr>
      <w:r>
        <w:t xml:space="preserve">1.1 Strategy Definition</w:t>
      </w:r>
    </w:p>
    <w:p>
      <w:pPr>
        <w:spacing w:after="200"/>
      </w:pPr>
      <w:r>
        <w:t xml:space="preserve">A covered call (or call overwriting) strategy involves holding a long position in the underlying asset while simultaneously selling call options against that position. This strategy generates income through option premium collection while capping the upside potential.</w:t>
      </w:r>
    </w:p>
    <w:p>
      <w:pPr>
        <w:spacing w:after="200"/>
      </w:pPr>
      <w:r>
        <w:rPr>
          <w:b/>
          <w:bCs/>
        </w:rPr>
        <w:t xml:space="preserve">Position Components: </w:t>
      </w:r>
      <w:r>
        <w:t xml:space="preserve">Long 1 BTC (underlying asset) plus Short 1 call option (3-week tenor, 20-delta strike). The strategy is implemented as a rolling daily entry system where each day a new position is initiated, and P&amp;L is realized at the option expiration date (T+21 days).</w:t>
      </w:r>
    </w:p>
    <w:p>
      <w:pPr>
        <w:pStyle w:val="Heading2"/>
      </w:pPr>
      <w:r>
        <w:t xml:space="preserve">1.2 Option Parameters</w:t>
      </w:r>
    </w:p>
    <w:p>
      <w:pPr>
        <w:spacing w:after="200"/>
      </w:pPr>
      <w:r>
        <w:rPr>
          <w:b/>
          <w:bCs/>
        </w:rPr>
        <w:t xml:space="preserve">Tenor: </w:t>
      </w:r>
      <w:r>
        <w:t xml:space="preserve">21 days (3 weeks). This tenor balances time decay capture with manageable gamma risk.</w:t>
      </w:r>
    </w:p>
    <w:p>
      <w:pPr>
        <w:spacing w:after="200"/>
      </w:pPr>
      <w:r>
        <w:rPr>
          <w:b/>
          <w:bCs/>
        </w:rPr>
        <w:t xml:space="preserve">Delta: </w:t>
      </w:r>
      <w:r>
        <w:t xml:space="preserve">20-delta call. A 20-delta option is approximately 80% likely to expire out-of-the-money, providing a probability-weighted premium capture opportunity while leaving room for moderate upside participation.</w:t>
      </w:r>
    </w:p>
    <w:p>
      <w:pPr>
        <w:spacing w:after="200"/>
      </w:pPr>
      <w:r>
        <w:rPr>
          <w:b/>
          <w:bCs/>
        </w:rPr>
        <w:t xml:space="preserve">Moneyness: </w:t>
      </w:r>
      <w:r>
        <w:t xml:space="preserve">The average 20-delta strike was 112.3% of spot, meaning the option was typically 12.3% out-of-the-money at entry.</w:t>
      </w:r>
    </w:p>
    <w:p>
      <w:pPr>
        <w:pStyle w:val="Heading1"/>
      </w:pPr>
      <w:r>
        <w:t xml:space="preserve">2. Methodology</w:t>
      </w:r>
    </w:p>
    <w:p>
      <w:pPr>
        <w:pStyle w:val="Heading2"/>
      </w:pPr>
      <w:r>
        <w:t xml:space="preserve">2.1 Data Source</w:t>
      </w:r>
    </w:p>
    <w:p>
      <w:pPr>
        <w:spacing w:after="200"/>
      </w:pPr>
      <w:r>
        <w:t xml:space="preserve">Historical implied volatility data was sourced from Deribit options market data covering January 1, 2024 through December 31, 2025. The dataset includes IV surfaces for 1-week and 1-month tenors at 15-delta and 25-delta points.</w:t>
      </w:r>
    </w:p>
    <w:p>
      <w:pPr>
        <w:pStyle w:val="Heading2"/>
      </w:pPr>
      <w:r>
        <w:t xml:space="preserve">2.2 IV Interpolation</w:t>
      </w:r>
    </w:p>
    <w:p>
      <w:pPr>
        <w:spacing w:after="200"/>
      </w:pPr>
      <w:r>
        <w:t xml:space="preserve">Since the raw data provided IV for 1W/1M tenors and 15D/25D deltas, bilinear interpolation was used to derive the 3-week 20-delta IV: (1) Linear interpolation in delta space from 15D to 25D to get 20D IV for each tenor, (2) Linear interpolation in sqrt(T) space (variance scaling) from 1W to 1M to get 3W IV.</w:t>
      </w:r>
    </w:p>
    <w:p>
      <w:pPr>
        <w:pStyle w:val="Heading2"/>
      </w:pPr>
      <w:r>
        <w:t xml:space="preserve">2.3 Option Pricing</w:t>
      </w:r>
    </w:p>
    <w:p>
      <w:pPr>
        <w:spacing w:after="200"/>
      </w:pPr>
      <w:r>
        <w:t xml:space="preserve">Black-Scholes model was used for option pricing with the following inputs: Spot price (from data), Strike (calculated via delta inversion), Time to expiry (21/365 years), Risk-free rate (5% annualized), and Implied volatility (interpolated 3W 20D IV).</w:t>
      </w:r>
    </w:p>
    <w:p>
      <w:pPr>
        <w:pStyle w:val="Heading1"/>
      </w:pPr>
      <w:r>
        <w:t xml:space="preserve">3. Backtest Results</w:t>
      </w:r>
    </w:p>
    <w:p>
      <w:pPr>
        <w:pStyle w:val="Heading2"/>
      </w:pPr>
      <w:r>
        <w:t xml:space="preserve">3.1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Covered Call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Long BTC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Total P&amp;L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$898,626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$935,744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Mean P&amp;L per Trade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$1,267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Win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56.6%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52.8%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Sharpe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0.97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Max Drawdown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-$505,397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-$631,611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Volatility (21d)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8.42%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11.89%</w:t>
            </w:r>
          </w:p>
        </w:tc>
      </w:tr>
    </w:tbl>
    <w:p>
      <w:pPr>
        <w:spacing w:before="200" w:after="200"/>
      </w:pPr>
      <w:r>
        <w:t xml:space="preserve"/>
      </w:r>
    </w:p>
    <w:p>
      <w:pPr>
        <w:pStyle w:val="Heading2"/>
      </w:pPr>
      <w:r>
        <w:t xml:space="preserve">3.2 Option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Total Trades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Total Premium Collected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$751,508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Average Premium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$1,060 (1.30% of spot)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Average IV at Entry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Average Moneyness (K/S)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112.3%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Short Call Win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Called Away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18.1%</w:t>
            </w:r>
          </w:p>
        </w:tc>
      </w:tr>
    </w:tbl>
    <w:p>
      <w:pPr>
        <w:spacing w:before="200"/>
      </w:pPr>
      <w:r>
        <w:t xml:space="preserve"/>
      </w:r>
    </w:p>
    <w:p>
      <w:pPr>
        <w:pStyle w:val="Heading1"/>
      </w:pPr>
      <w:r>
        <w:t xml:space="preserve">4. Analysis and Discussion</w:t>
      </w:r>
    </w:p>
    <w:p>
      <w:pPr>
        <w:pStyle w:val="Heading2"/>
      </w:pPr>
      <w:r>
        <w:t xml:space="preserve">4.1 Covered Call vs Long BTC</w:t>
      </w:r>
    </w:p>
    <w:p>
      <w:pPr>
        <w:spacing w:after="200"/>
      </w:pPr>
      <w:r>
        <w:t xml:space="preserve">The covered call strategy underperformed long-only BTC by approximately $37,000 (4.0%) in absolute terms over the backtest period. This is expected given that 2024-2025 was a strongly bullish period for Bitcoin, rising from ~$42,500 to over $100,000 at its peak. In strong bull markets, the covered call strategy sacrifices upside when the underlying rallies beyond the strike price.</w:t>
      </w:r>
    </w:p>
    <w:p>
      <w:pPr>
        <w:spacing w:after="200"/>
      </w:pPr>
      <w:r>
        <w:rPr>
          <w:b/>
          <w:bCs/>
        </w:rPr>
        <w:t xml:space="preserve">Risk-Adjusted Performance: </w:t>
      </w:r>
      <w:r>
        <w:t xml:space="preserve">Despite lower absolute returns, the covered call strategy delivered meaningfully superior risk-adjusted returns. The Sharpe ratio of 1.10 (vs 0.97) represents a 13% improvement in return per unit of risk. This is driven by: (1) Lower volatility (8.42% vs 11.89%), as the premium collected provides a buffer against downside moves, and (2) Smaller drawdowns (-$505K vs -$632K), as premium income reduces the depth of losses during corrections.</w:t>
      </w:r>
    </w:p>
    <w:p>
      <w:pPr>
        <w:pStyle w:val="Heading2"/>
      </w:pPr>
      <w:r>
        <w:t xml:space="preserve">4.2 Premium Capture Analysis</w:t>
      </w:r>
    </w:p>
    <w:p>
      <w:pPr>
        <w:spacing w:after="200"/>
      </w:pPr>
      <w:r>
        <w:t xml:space="preserve">The strategy collected $751,508 in total premium over 709 trades. The short call position was profitable in 83.8% of trades, reflecting the high probability of OTM expiration for 20-delta options. However, in the 18.1% of cases where the option was called away (S &gt; K at expiry), the losses on the short call exceeded the premium, leading to the strategy's underperformance in absolute terms.</w:t>
      </w:r>
    </w:p>
    <w:p>
      <w:pPr>
        <w:pStyle w:val="Heading2"/>
      </w:pPr>
      <w:r>
        <w:t xml:space="preserve">4.3 Market Regime Sensitivity</w:t>
      </w:r>
    </w:p>
    <w:p>
      <w:pPr>
        <w:spacing w:after="200"/>
      </w:pPr>
      <w:r>
        <w:t xml:space="preserve">The strategy's relative performance varied significantly by market regime. During trending bull markets, the covered call underperformed as gains were capped. During sideways or mildly bullish periods, the strategy outperformed by collecting premium without sacrificing upside. During corrections, the strategy provided downside protection through premium income, resulting in smaller losses than long-only BTC.</w:t>
      </w:r>
    </w:p>
    <w:p>
      <w:pPr>
        <w:pStyle w:val="Heading1"/>
      </w:pPr>
      <w:r>
        <w:t xml:space="preserve">5. Current Market Application</w:t>
      </w:r>
    </w:p>
    <w:p>
      <w:pPr>
        <w:pStyle w:val="Heading2"/>
      </w:pPr>
      <w:r>
        <w:t xml:space="preserve">5.1 Live Market Data (February 5, 2026)</w:t>
      </w:r>
    </w:p>
    <w:p>
      <w:pPr>
        <w:spacing w:after="200"/>
      </w:pPr>
      <w:r>
        <w:t xml:space="preserve">Using current market data from Deribit, we can price a 3-week 20-delta call option for immediate implementation of this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BTC Spot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$67,332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DVOL (30-day IV)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Estimated 3W IV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20-Delta Strike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$73,820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Option Premium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$719 (1.07%)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Expiry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February 26, 2026</w:t>
            </w:r>
          </w:p>
        </w:tc>
      </w:tr>
    </w:tbl>
    <w:p>
      <w:pPr>
        <w:spacing w:before="200"/>
      </w:pPr>
      <w:r>
        <w:t xml:space="preserve"/>
      </w:r>
    </w:p>
    <w:p>
      <w:pPr>
        <w:pStyle w:val="Heading2"/>
      </w:pPr>
      <w:r>
        <w:t xml:space="preserve">5.2 Greeks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Greek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 probability of ITM expiry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Gamma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0.000041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Delta change per $1 spot move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Theta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-$46.57/day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Daily time decay benefit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Vega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$45.22/1%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Premium change per 1% IV move</w:t>
            </w:r>
          </w:p>
        </w:tc>
      </w:tr>
    </w:tbl>
    <w:p>
      <w:pPr>
        <w:spacing w:before="200"/>
      </w:pPr>
      <w:r>
        <w:t xml:space="preserve"/>
      </w:r>
    </w:p>
    <w:p>
      <w:pPr>
        <w:pStyle w:val="Heading2"/>
      </w:pPr>
      <w:r>
        <w:t xml:space="preserve">5.3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Spot at Expiry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BTC P&amp;L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Option P&amp;L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Total P&amp;L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$53,866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-$13,466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-$12,747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$60,599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-$6,733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-$6,014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$67,332 (flat)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+$719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$74,065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+$6,733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+$7,208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$80,798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+$13,466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-$6,259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+$7,208</w:t>
            </w:r>
          </w:p>
        </w:tc>
      </w:tr>
    </w:tbl>
    <w:p>
      <w:pPr>
        <w:spacing w:before="200"/>
      </w:pPr>
      <w:r>
        <w:t xml:space="preserve"/>
      </w:r>
    </w:p>
    <w:p>
      <w:pPr>
        <w:pStyle w:val="Heading1"/>
      </w:pPr>
      <w:r>
        <w:t xml:space="preserve">6. Conclusions</w:t>
      </w:r>
    </w:p>
    <w:p>
      <w:pPr>
        <w:spacing w:after="200"/>
      </w:pPr>
      <w:r>
        <w:t xml:space="preserve">The systematic 3-week 20-delta covered call strategy on Bitcoin represents a valid approach for investors seeking to generate income and reduce volatility while maintaining long BTC exposure. The backtest demonstrates: (1) Consistent premium generation averaging 1.30% of spot value per 3-week period, (2) Higher Sharpe ratio (1.10 vs 0.97) indicating superior risk-adjusted returns, (3) Lower drawdowns providing meaningful downside protection, (4) Trade-off of capped upside in strong bull markets.</w:t>
      </w:r>
    </w:p>
    <w:p>
      <w:pPr>
        <w:spacing w:after="200"/>
      </w:pPr>
      <w:r>
        <w:rPr>
          <w:b/>
          <w:bCs/>
        </w:rPr>
        <w:t xml:space="preserve">Suitability: </w:t>
      </w:r>
      <w:r>
        <w:t xml:space="preserve">This strategy is most appropriate for investors who: have a moderately bullish or neutral outlook on BTC, prioritize income generation and volatility reduction, are willing to sacrifice some upside potential, and seek a systematic, rules-based approach to options trading.</w:t>
      </w:r>
    </w:p>
    <w:p>
      <w:pPr>
        <w:spacing w:after="200"/>
      </w:pPr>
      <w:r>
        <w:rPr>
          <w:b/>
          <w:bCs/>
        </w:rPr>
        <w:t xml:space="preserve">Implementation: </w:t>
      </w:r>
      <w:r>
        <w:t xml:space="preserve">The strategy can be implemented on Deribit or other crypto options exchanges. Current market conditions (DVOL at 44%, elevated from recent lows) suggest relatively attractive premium levels for call sellers.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2026-02-05T20:52:36.136Z</dcterms:created>
  <dcterms:modified xsi:type="dcterms:W3CDTF">2026-02-05T20:52:36.137Z</dcterms:modified>
</cp:coreProperties>
</file>

<file path=docProps/custom.xml><?xml version="1.0" encoding="utf-8"?>
<Properties xmlns="http://schemas.openxmlformats.org/officeDocument/2006/custom-properties" xmlns:vt="http://schemas.openxmlformats.org/officeDocument/2006/docPropsVTypes"/>
</file>