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4.45</w:t>
      </w:r>
    </w:p>
    <w:p w:rsidR="00702F05" w:rsidRPr="00163E92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163E92">
        <w:rPr>
          <w:rFonts w:ascii="Arial" w:hAnsi="Arial" w:cs="Arial"/>
          <w:sz w:val="19"/>
          <w:szCs w:val="19"/>
        </w:rPr>
        <w:t xml:space="preserve">Bezeichnung: LED-Wandeinbauleuchte </w:t>
      </w:r>
      <w:proofErr w:type="spellStart"/>
      <w:r>
        <w:rPr>
          <w:rFonts w:ascii="Arial" w:hAnsi="Arial" w:cs="Arial"/>
          <w:sz w:val="19"/>
          <w:szCs w:val="19"/>
        </w:rPr>
        <w:t>small</w:t>
      </w:r>
      <w:proofErr w:type="spellEnd"/>
      <w:r>
        <w:rPr>
          <w:rFonts w:ascii="Arial" w:hAnsi="Arial" w:cs="Arial"/>
          <w:sz w:val="19"/>
          <w:szCs w:val="19"/>
        </w:rPr>
        <w:t xml:space="preserve"> 1W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8A5C37">
        <w:rPr>
          <w:rFonts w:ascii="Arial" w:hAnsi="Arial" w:cs="Arial"/>
          <w:color w:val="000000" w:themeColor="text1"/>
          <w:sz w:val="19"/>
          <w:szCs w:val="19"/>
        </w:rPr>
        <w:t xml:space="preserve">Diese LED-Wandeinbauleuchte eignet sich überall dort wo Akzente im Gehbereich oder auf Verkehrsflächen gesetzt werden wollen. Aufgrund ihrer Abstrahlung </w:t>
      </w:r>
      <w:r>
        <w:rPr>
          <w:rFonts w:ascii="Arial" w:hAnsi="Arial" w:cs="Arial"/>
          <w:sz w:val="19"/>
          <w:szCs w:val="19"/>
        </w:rPr>
        <w:t>sorgt diese Wandeinbauleuchte für spezielle Lichteffekte.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4006050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87 mm x B 35 mm X T 37 mm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Gehäuse/ Kühlkörper: Aluminiumdruckguss gebürstet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engstrahlende Abstrahlung 20°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 W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Konverter in Einbaubüchse mitgeliefert</w:t>
      </w:r>
      <w:r>
        <w:rPr>
          <w:rFonts w:ascii="Arial" w:hAnsi="Arial" w:cs="Arial"/>
          <w:sz w:val="19"/>
          <w:szCs w:val="19"/>
        </w:rPr>
        <w:br/>
        <w:t>Lichtstrom: 50 lm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50 lm/W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702F05" w:rsidRDefault="00702F05" w:rsidP="00702F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702F05" w:rsidRDefault="00702F05" w:rsidP="00702F05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Einbaubüchse für Wandeinbau  Art. Nr. 4006051 inkl. Betriebsgerät</w:t>
      </w:r>
      <w:r>
        <w:rPr>
          <w:rFonts w:ascii="Arial" w:hAnsi="Arial" w:cs="Arial"/>
          <w:sz w:val="19"/>
          <w:szCs w:val="19"/>
        </w:rPr>
        <w:br/>
        <w:t>Wandausschnitt: L 72mm x B 25 mm</w:t>
      </w:r>
      <w:r>
        <w:rPr>
          <w:rFonts w:ascii="Arial" w:hAnsi="Arial" w:cs="Arial"/>
          <w:sz w:val="19"/>
          <w:szCs w:val="19"/>
        </w:rPr>
        <w:br/>
        <w:t>Betriebsgerät in Einbaubüchse integriert: schaltbar ein-aus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05"/>
    <w:rsid w:val="00702F05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05FB5F-5BF7-48FA-9072-CEFFC8BF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2F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SMARTERION-1935392420-335</_dlc_DocId>
    <_dlc_DocIdUrl xmlns="487d504f-f9de-4764-a996-4afaed8ee1a6">
      <Url>https://smarterionag.sharepoint.com/marketing/_layouts/15/DocIdRedir.aspx?ID=SMARTERION-1935392420-335</Url>
      <Description>SMARTERION-1935392420-335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EE7EB558-1FD9-4C3C-932C-C46B77D10D1B}"/>
</file>

<file path=customXml/itemProps2.xml><?xml version="1.0" encoding="utf-8"?>
<ds:datastoreItem xmlns:ds="http://schemas.openxmlformats.org/officeDocument/2006/customXml" ds:itemID="{B4C488D0-AAA8-405B-9E3F-F62E4AF6B4C8}"/>
</file>

<file path=customXml/itemProps3.xml><?xml version="1.0" encoding="utf-8"?>
<ds:datastoreItem xmlns:ds="http://schemas.openxmlformats.org/officeDocument/2006/customXml" ds:itemID="{4641C8B7-F14E-43A7-B2D3-F523420BEF78}"/>
</file>

<file path=customXml/itemProps4.xml><?xml version="1.0" encoding="utf-8"?>
<ds:datastoreItem xmlns:ds="http://schemas.openxmlformats.org/officeDocument/2006/customXml" ds:itemID="{1AD9D727-4EBB-4FF7-8EE4-2F2802D09F8B}"/>
</file>

<file path=customXml/itemProps5.xml><?xml version="1.0" encoding="utf-8"?>
<ds:datastoreItem xmlns:ds="http://schemas.openxmlformats.org/officeDocument/2006/customXml" ds:itemID="{4C26C58C-5591-472E-BBDB-16F02E6B38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2016-04-11T11:14:00Z</dcterms:created>
  <dcterms:modified xsi:type="dcterms:W3CDTF">2016-04-11T11:15:00Z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11d71172-3be1-48f7-a3b1-000c32e53e4e</vt:lpwstr>
  </property>
</Properties>
</file>