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1.13</w:t>
      </w:r>
    </w:p>
    <w:p w:rsidR="003E6027" w:rsidRPr="003A0663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U1919</w:t>
      </w:r>
      <w:r>
        <w:rPr>
          <w:rFonts w:ascii="Arial" w:hAnsi="Arial" w:cs="Arial"/>
          <w:sz w:val="19"/>
          <w:szCs w:val="19"/>
        </w:rPr>
        <w:br/>
        <w:t>Formschöne, hochwertige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</w:t>
      </w:r>
      <w:r>
        <w:rPr>
          <w:rFonts w:ascii="Arial" w:hAnsi="Arial" w:cs="Arial"/>
          <w:sz w:val="19"/>
          <w:szCs w:val="19"/>
        </w:rPr>
        <w:t xml:space="preserve">mit zusätzlicher seitlicher Abstrahlrichtung für einen indirekten Lichtanteil </w:t>
      </w:r>
      <w:r w:rsidRPr="003A0663">
        <w:rPr>
          <w:rFonts w:ascii="Arial" w:hAnsi="Arial" w:cs="Arial"/>
          <w:sz w:val="19"/>
          <w:szCs w:val="19"/>
        </w:rPr>
        <w:t xml:space="preserve">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2500 mm x B 19 mm x H 19 mm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Endkappen aus ABS </w:t>
      </w:r>
      <w:proofErr w:type="gramStart"/>
      <w:r>
        <w:rPr>
          <w:rFonts w:ascii="Arial" w:hAnsi="Arial" w:cs="Arial"/>
          <w:sz w:val="19"/>
          <w:szCs w:val="19"/>
        </w:rPr>
        <w:t xml:space="preserve">Kunststoff </w:t>
      </w:r>
      <w:r w:rsidRPr="00492ADC">
        <w:rPr>
          <w:rFonts w:ascii="Arial" w:hAnsi="Arial" w:cs="Arial"/>
          <w:color w:val="FF0000"/>
          <w:sz w:val="19"/>
          <w:szCs w:val="19"/>
        </w:rPr>
        <w:t xml:space="preserve"> ??????</w:t>
      </w:r>
      <w:proofErr w:type="gramEnd"/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12 W/m  / 22 W/m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RGB/ RGBWW / RGBNW : 14.4 W/m / 21 W/m / 21 W/m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1050 lm – 2300 lm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60 lm/W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 aus Kunststoff</w:t>
      </w:r>
    </w:p>
    <w:p w:rsidR="003E6027" w:rsidRDefault="003E6027" w:rsidP="003E6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27"/>
    <w:rsid w:val="003E6027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2823B0-6FB2-4664-9106-C379F2AA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60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SMARTERION-1935392420-317</_dlc_DocId>
    <_dlc_DocIdUrl xmlns="487d504f-f9de-4764-a996-4afaed8ee1a6">
      <Url>https://smarterionag.sharepoint.com/marketing/_layouts/15/DocIdRedir.aspx?ID=SMARTERION-1935392420-317</Url>
      <Description>SMARTERION-1935392420-317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3B8550C0-AAA3-48A7-AC5B-0CCE7796E0CE}"/>
</file>

<file path=customXml/itemProps2.xml><?xml version="1.0" encoding="utf-8"?>
<ds:datastoreItem xmlns:ds="http://schemas.openxmlformats.org/officeDocument/2006/customXml" ds:itemID="{78974EC4-7E05-46A4-8471-622DA0E1A8A8}"/>
</file>

<file path=customXml/itemProps3.xml><?xml version="1.0" encoding="utf-8"?>
<ds:datastoreItem xmlns:ds="http://schemas.openxmlformats.org/officeDocument/2006/customXml" ds:itemID="{6CCB27D6-581E-4D8B-87E1-274C29F622A9}"/>
</file>

<file path=customXml/itemProps4.xml><?xml version="1.0" encoding="utf-8"?>
<ds:datastoreItem xmlns:ds="http://schemas.openxmlformats.org/officeDocument/2006/customXml" ds:itemID="{E0B777A4-C358-4320-B428-D7C795734F4C}"/>
</file>

<file path=customXml/itemProps5.xml><?xml version="1.0" encoding="utf-8"?>
<ds:datastoreItem xmlns:ds="http://schemas.openxmlformats.org/officeDocument/2006/customXml" ds:itemID="{F720C101-85E3-4EA7-ACC0-E9457E3A12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2016-04-11T09:46:00Z</dcterms:created>
  <dcterms:modified xsi:type="dcterms:W3CDTF">2016-04-11T09:47:00Z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a2b020cb-0109-44cc-a472-723937cbe92c</vt:lpwstr>
  </property>
</Properties>
</file>