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577FC" w14:textId="77777777" w:rsidR="009D468E" w:rsidRDefault="000A13D8">
      <w:pPr>
        <w:rPr>
          <w:sz w:val="24"/>
          <w:szCs w:val="24"/>
          <w:lang w:val="de-CH"/>
        </w:rPr>
      </w:pPr>
      <w:bookmarkStart w:id="0" w:name="_GoBack"/>
      <w:bookmarkEnd w:id="0"/>
      <w:proofErr w:type="spellStart"/>
      <w:r>
        <w:rPr>
          <w:sz w:val="24"/>
          <w:szCs w:val="24"/>
          <w:lang w:val="de-CH"/>
        </w:rPr>
        <w:t>smartUni</w:t>
      </w:r>
      <w:proofErr w:type="spellEnd"/>
      <w:r>
        <w:rPr>
          <w:sz w:val="24"/>
          <w:szCs w:val="24"/>
          <w:lang w:val="de-CH"/>
        </w:rPr>
        <w:t xml:space="preserve">-LED </w:t>
      </w:r>
      <w:r w:rsidR="00260C7E">
        <w:rPr>
          <w:sz w:val="24"/>
          <w:szCs w:val="24"/>
          <w:lang w:val="de-CH"/>
        </w:rPr>
        <w:t>Universal-Systemleuchte passend für Lichtbandsysteme</w:t>
      </w:r>
    </w:p>
    <w:p w14:paraId="28E8D8EA" w14:textId="77777777" w:rsidR="00260C7E" w:rsidRDefault="00260C7E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Universelle LED-Systemleuchte passend auf verschiedenste auf dem Markt erhältliche Lichtbandsysteme mit einer Breite von 58-65mm. Damit ist diese Lösung ein optimaler Ersatz für die Sanierung von bestehenden T8 Lösungen mit 36W oder 58W. Die neue Universal-Systemleuchte kann mitte</w:t>
      </w:r>
      <w:r w:rsidR="000A13D8">
        <w:rPr>
          <w:sz w:val="24"/>
          <w:szCs w:val="24"/>
          <w:lang w:val="de-CH"/>
        </w:rPr>
        <w:t>ls Schnellschrauben</w:t>
      </w:r>
      <w:r>
        <w:rPr>
          <w:sz w:val="24"/>
          <w:szCs w:val="24"/>
          <w:lang w:val="de-CH"/>
        </w:rPr>
        <w:t xml:space="preserve"> einfach auf die bestehenden Lichtbandsysteme montiert werden.</w:t>
      </w:r>
    </w:p>
    <w:p w14:paraId="07D63EBC" w14:textId="77777777" w:rsidR="00260C7E" w:rsidRDefault="00260C7E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Abdeckung breitstrahlender homogener PMMA-Diffusor</w:t>
      </w:r>
    </w:p>
    <w:p w14:paraId="41316ED7" w14:textId="77777777" w:rsidR="000A13D8" w:rsidRDefault="000A13D8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Optionale klare </w:t>
      </w:r>
      <w:proofErr w:type="spellStart"/>
      <w:r>
        <w:rPr>
          <w:sz w:val="24"/>
          <w:szCs w:val="24"/>
          <w:lang w:val="de-CH"/>
        </w:rPr>
        <w:t>Diffusorenbestückung</w:t>
      </w:r>
      <w:proofErr w:type="spellEnd"/>
      <w:r>
        <w:rPr>
          <w:sz w:val="24"/>
          <w:szCs w:val="24"/>
          <w:lang w:val="de-CH"/>
        </w:rPr>
        <w:t xml:space="preserve"> mit 60° und 90° LVK für hohe </w:t>
      </w:r>
    </w:p>
    <w:p w14:paraId="2075FEF5" w14:textId="77777777" w:rsidR="000A13D8" w:rsidRDefault="000A13D8" w:rsidP="000A13D8">
      <w:pPr>
        <w:pStyle w:val="Listenabsatz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Raumhöhen &gt; 4m</w:t>
      </w:r>
    </w:p>
    <w:p w14:paraId="69C2B01A" w14:textId="77777777" w:rsidR="00260C7E" w:rsidRDefault="000A13D8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Lichtquellen Tridonic LED</w:t>
      </w:r>
    </w:p>
    <w:p w14:paraId="6CEAD100" w14:textId="77777777" w:rsidR="00260C7E" w:rsidRDefault="000A13D8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Farbtemperatur:</w:t>
      </w:r>
      <w:r w:rsidR="00260C7E">
        <w:rPr>
          <w:sz w:val="24"/>
          <w:szCs w:val="24"/>
          <w:lang w:val="de-CH"/>
        </w:rPr>
        <w:t xml:space="preserve"> 4000 K</w:t>
      </w:r>
    </w:p>
    <w:p w14:paraId="0760DB00" w14:textId="77777777" w:rsidR="00260C7E" w:rsidRDefault="00260C7E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Systemeffizienz &gt; 120 lm/ W</w:t>
      </w:r>
    </w:p>
    <w:p w14:paraId="29BE34FE" w14:textId="77777777" w:rsidR="000A13D8" w:rsidRDefault="000A13D8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Standardlängen 1200 mm 25 W 3490 lm/ 1500 mm 35 W 4400 lm</w:t>
      </w:r>
    </w:p>
    <w:p w14:paraId="0103AB46" w14:textId="77777777" w:rsidR="00260C7E" w:rsidRDefault="00260C7E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Betriebsgeräte </w:t>
      </w:r>
      <w:r w:rsidR="000A13D8">
        <w:rPr>
          <w:sz w:val="24"/>
          <w:szCs w:val="24"/>
          <w:lang w:val="de-CH"/>
        </w:rPr>
        <w:t>Tridonic</w:t>
      </w:r>
    </w:p>
    <w:p w14:paraId="04CE5C59" w14:textId="77777777" w:rsidR="00260C7E" w:rsidRDefault="00260C7E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Variante mit DALI/ Push-</w:t>
      </w:r>
      <w:proofErr w:type="spellStart"/>
      <w:r>
        <w:rPr>
          <w:sz w:val="24"/>
          <w:szCs w:val="24"/>
          <w:lang w:val="de-CH"/>
        </w:rPr>
        <w:t>Dim</w:t>
      </w:r>
      <w:proofErr w:type="spellEnd"/>
    </w:p>
    <w:p w14:paraId="7BB9737C" w14:textId="77777777" w:rsidR="00260C7E" w:rsidRDefault="00260C7E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Optional mit Tridonic-</w:t>
      </w:r>
      <w:proofErr w:type="spellStart"/>
      <w:r>
        <w:rPr>
          <w:sz w:val="24"/>
          <w:szCs w:val="24"/>
          <w:lang w:val="de-CH"/>
        </w:rPr>
        <w:t>Notlicheinsatz</w:t>
      </w:r>
      <w:proofErr w:type="spellEnd"/>
    </w:p>
    <w:p w14:paraId="14904761" w14:textId="77777777" w:rsidR="00260C7E" w:rsidRDefault="00260C7E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Betriebsgeräte DC-tauglich</w:t>
      </w:r>
    </w:p>
    <w:p w14:paraId="7E0F1B0B" w14:textId="77777777" w:rsidR="00390760" w:rsidRDefault="00390760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Systemgarantie 3/ 5 Jahre je nach LED-Bestückung</w:t>
      </w:r>
    </w:p>
    <w:p w14:paraId="248D67CA" w14:textId="77777777" w:rsidR="00390760" w:rsidRPr="00260C7E" w:rsidRDefault="00390760" w:rsidP="00260C7E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Schutzart IP40</w:t>
      </w:r>
    </w:p>
    <w:p w14:paraId="5FD36E59" w14:textId="77777777" w:rsidR="00260C7E" w:rsidRPr="00260C7E" w:rsidRDefault="00260C7E">
      <w:pPr>
        <w:rPr>
          <w:sz w:val="24"/>
          <w:szCs w:val="24"/>
          <w:lang w:val="de-CH"/>
        </w:rPr>
      </w:pPr>
    </w:p>
    <w:sectPr w:rsidR="00260C7E" w:rsidRPr="0026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07AB3"/>
    <w:multiLevelType w:val="hybridMultilevel"/>
    <w:tmpl w:val="FF84F3E0"/>
    <w:lvl w:ilvl="0" w:tplc="D88059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7E"/>
    <w:rsid w:val="000A13D8"/>
    <w:rsid w:val="00260C7E"/>
    <w:rsid w:val="00390760"/>
    <w:rsid w:val="0083528A"/>
    <w:rsid w:val="009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1EB49"/>
  <w15:chartTrackingRefBased/>
  <w15:docId w15:val="{640C7771-B28F-4381-B42A-7C988774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SMARTERION-1935392420-629</_dlc_DocId>
    <_dlc_DocIdUrl xmlns="487d504f-f9de-4764-a996-4afaed8ee1a6">
      <Url>https://smarterionag.sharepoint.com/marketing/_layouts/15/DocIdRedir.aspx?ID=SMARTERION-1935392420-629</Url>
      <Description>SMARTERION-1935392420-629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07B198E9-B2BB-4FA4-A0BE-8757C0C3E4D7}"/>
</file>

<file path=customXml/itemProps2.xml><?xml version="1.0" encoding="utf-8"?>
<ds:datastoreItem xmlns:ds="http://schemas.openxmlformats.org/officeDocument/2006/customXml" ds:itemID="{FF5C2488-A69F-47DB-B2D8-BACE774E823B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A225CAB2-571F-4341-BD5C-0E107232E26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41F1B33-54C6-4296-B06A-11A55106510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C2AC79-421D-4AD1-B681-90D6C9E6E739}">
  <ds:schemaRefs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sharepoint/v4"/>
    <ds:schemaRef ds:uri="http://purl.org/dc/elements/1.1/"/>
    <ds:schemaRef ds:uri="487d504f-f9de-4764-a996-4afaed8ee1a6"/>
    <ds:schemaRef ds:uri="ef1af068-ec26-45c1-bad5-81a6eb6d334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4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 Hug</dc:creator>
  <cp:keywords/>
  <dc:description/>
  <cp:lastModifiedBy>Reto Bonderer</cp:lastModifiedBy>
  <cp:revision>2</cp:revision>
  <dcterms:created xsi:type="dcterms:W3CDTF">2016-08-03T12:15:00Z</dcterms:created>
  <dcterms:modified xsi:type="dcterms:W3CDTF">2016-08-03T12:15:00Z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ac14a648-0f47-4a1b-92b2-5a2b6dd61862</vt:lpwstr>
  </property>
</Properties>
</file>