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cstheme="minorHAnsi"/>
          <w:b/>
          <w:sz w:val="24"/>
          <w:szCs w:val="24"/>
        </w:rPr>
        <w:t xml:space="preserve">Elektrotehnički fakultet u Beograd</w:t>
      </w:r>
      <w:r>
        <w:rPr>
          <w:rFonts w:cstheme="minorHAnsi"/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Principi Softverskog Inženjerstva (SI3PSI)</w:t>
      </w:r>
      <w:r>
        <w:rPr>
          <w:b/>
          <w:sz w:val="24"/>
          <w:szCs w:val="24"/>
        </w:rPr>
      </w:r>
      <w:r/>
    </w:p>
    <w:p>
      <w:pPr>
        <w:jc w:val="left"/>
      </w:pPr>
      <w:r/>
      <w:r/>
    </w:p>
    <w:p>
      <w:pPr>
        <w:jc w:val="center"/>
      </w:pPr>
      <w:r>
        <w:rPr>
          <w:b/>
        </w:rPr>
      </w:r>
      <w:r>
        <w:rPr>
          <w:b/>
        </w:rPr>
      </w:r>
      <w:r/>
    </w:p>
    <w:p>
      <w:pPr>
        <w:jc w:val="center"/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5420" cy="1455420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8687500" name="PSI-ES-Logo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55419" cy="1455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4.6pt;height:114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</w:rPr>
      </w:r>
      <w:r/>
    </w:p>
    <w:p>
      <w:pPr>
        <w:jc w:val="center"/>
      </w:pPr>
      <w:r>
        <w:rPr>
          <w:b/>
          <w:sz w:val="52"/>
          <w:szCs w:val="52"/>
        </w:rPr>
        <w:t xml:space="preserve">Explore Serbia</w:t>
      </w:r>
      <w:r>
        <w:rPr>
          <w:b/>
          <w:sz w:val="52"/>
          <w:szCs w:val="5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firstLine="0"/>
        <w:jc w:val="center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brisanja korisnika od strane administratora</w:t>
      </w:r>
      <w:r/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Članovi tima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Miloš Brković 2019/0599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Antonija Vasiljević 2019/0501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Nikola Bjelobaba 2019/0442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Marko Jovanović 2018/0607</w:t>
      </w:r>
      <w:r>
        <w:rPr>
          <w:b/>
          <w:sz w:val="24"/>
          <w:szCs w:val="24"/>
        </w:rPr>
      </w:r>
      <w:r/>
      <w:r/>
      <w:r/>
    </w:p>
    <w:p>
      <w:pPr>
        <w:jc w:val="center"/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1.1</w:t>
      </w:r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</w:p>
    <w:tbl>
      <w:tblPr>
        <w:tblStyle w:val="674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11.4.2022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1.1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Ispravljena verzija nakon inspekcije</w:t>
            </w:r>
            <w:r>
              <w:rPr>
                <w:sz w:val="2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816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807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</w:p>
        <w:p>
          <w:pPr>
            <w:pStyle w:val="807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  <w:t xml:space="preserve">Scenario brisanja korisnika od strane administratora</w:t>
          </w:r>
          <w:r>
            <w:rPr>
              <w:b/>
              <w:bCs/>
            </w:rP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</w:p>
        <w:p>
          <w:pPr>
            <w:pStyle w:val="809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4</w:t>
          </w:r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5</w:t>
          </w:r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642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brisanja korisnika od strane administratora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82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82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674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642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>
        <w:rPr>
          <w:b/>
          <w:color w:val="000000" w:themeColor="text1"/>
        </w:rPr>
        <w:t xml:space="preserve">Scenario brisanja korisnika od strane administratora</w:t>
      </w:r>
      <w:r/>
    </w:p>
    <w:p>
      <w:pPr>
        <w:pStyle w:val="644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</w:r>
      <w:r>
        <w:rPr>
          <w:sz w:val="24"/>
          <w:szCs w:val="24"/>
        </w:rPr>
        <w:t xml:space="preserve">Administrator ima mogućnost da obriše bilo kog korisnika osim drugog administratora.</w:t>
      </w:r>
      <w:r>
        <w:rPr>
          <w:sz w:val="24"/>
          <w:szCs w:val="24"/>
        </w:rPr>
      </w:r>
      <w:r/>
    </w:p>
    <w:p>
      <w:pPr>
        <w:ind w:left="360"/>
        <w:jc w:val="both"/>
        <w:rPr>
          <w:color w:val="000000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se uloguje kao administrator</w:t>
      </w:r>
      <w:r>
        <w:rPr>
          <w:color w:val="000000" w:themeColor="text1"/>
          <w:sz w:val="24"/>
          <w:szCs w:val="24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Na stranici sa pregledom svih korisnika on nalazi korisnika kog želi da izbriše </w:t>
      </w:r>
      <w:r>
        <w:rPr>
          <w:color w:val="000000" w:themeColor="text1"/>
          <w:sz w:val="24"/>
          <w:szCs w:val="24"/>
        </w:rPr>
        <w:t xml:space="preserve">tako što unosi njegovo korisničko ime</w:t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Sistem potvrđuje da profil sa unetim korisničkim imenom više ne postoji</w:t>
      </w:r>
      <w:r>
        <w:rPr>
          <w:color w:val="000000" w:themeColor="text1"/>
          <w:sz w:val="24"/>
          <w:szCs w:val="24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Prvi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unošenje</w:t>
      </w:r>
      <w:r>
        <w:rPr>
          <w:color w:val="000000" w:themeColor="text1"/>
          <w:sz w:val="24"/>
          <w:szCs w:val="24"/>
          <w:u w:val="single"/>
        </w:rPr>
        <w:t xml:space="preserve"> nepostojećeg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korisničkog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imena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2a.   Brisanje nije uspelo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administratora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ponovni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unos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imena</w:t>
      </w:r>
      <w:r>
        <w:rPr>
          <w:i/>
          <w:color w:val="000000"/>
          <w:sz w:val="24"/>
          <w:szCs w:val="24"/>
        </w:rPr>
      </w:r>
      <w:r/>
    </w:p>
    <w:p>
      <w:pPr>
        <w:ind w:left="360"/>
        <w:rPr>
          <w:color w:val="000000"/>
          <w:highlight w:val="none"/>
        </w:rPr>
      </w:pPr>
      <w:r>
        <w:rPr>
          <w:b/>
          <w:color w:val="000000"/>
          <w:highlight w:val="none"/>
        </w:rPr>
      </w:r>
      <w:r>
        <w:rPr>
          <w:color w:val="000000"/>
          <w:sz w:val="24"/>
          <w:szCs w:val="24"/>
          <w:highlight w:val="none"/>
        </w:rPr>
      </w:r>
      <w:r/>
    </w:p>
    <w:p>
      <w:pPr>
        <w:ind w:left="360"/>
        <w:rPr>
          <w:color w:val="000000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b/>
          <w:color w:val="000000"/>
          <w:sz w:val="3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/>
          <w:sz w:val="24"/>
        </w:rPr>
      </w:pPr>
      <w:r>
        <w:rPr>
          <w:color w:val="000000" w:themeColor="text1"/>
          <w:sz w:val="24"/>
          <w:szCs w:val="24"/>
        </w:rPr>
        <w:t xml:space="preserve">Da bi se </w:t>
      </w:r>
      <w:r>
        <w:rPr>
          <w:color w:val="000000" w:themeColor="text1"/>
          <w:sz w:val="24"/>
          <w:szCs w:val="24"/>
        </w:rPr>
        <w:t xml:space="preserve">neko mogao da izvrši ovu radnju mora da bude administrator.</w:t>
      </w:r>
      <w:r/>
    </w:p>
    <w:p>
      <w:pPr>
        <w:ind w:left="360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color w:val="000000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uklonjen sa sajta</w:t>
      </w:r>
      <w:r>
        <w:rPr>
          <w:color w:val="000000" w:themeColor="text1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</w:r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2022-04-11T14:42:37Z</dcterms:modified>
</cp:coreProperties>
</file>