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03B22"/>
          <w:spacing w:val="60"/>
          <w:sz w:val="18"/>
          <w:szCs w:val="18"/>
        </w:rPr>
        <w:t xml:space="preserve">SPLETNAPOVSOD</w:t>
      </w:r>
    </w:p>
    <w:p>
      <w:pPr>
        <w:spacing w:after="100"/>
      </w:pPr>
      <w:r>
        <w:rPr>
          <w:rFonts w:ascii="Calibri" w:cs="Calibri" w:eastAsia="Calibri" w:hAnsi="Calibri"/>
          <w:color w:val="1A1C1E"/>
          <w:sz w:val="40"/>
          <w:szCs w:val="40"/>
        </w:rPr>
        <w:t xml:space="preserve">Mapping the site onto the REF Digital layout system</w:t>
      </w:r>
    </w:p>
    <w:p>
      <w:pPr>
        <w:spacing w:after="240" w:before="0" w:line="276"/>
      </w:pPr>
      <w:r>
        <w:rPr>
          <w:rFonts w:ascii="Calibri" w:cs="Calibri" w:eastAsia="Calibri" w:hAnsi="Calibri"/>
          <w:color w:val="50555A"/>
          <w:sz w:val="19"/>
          <w:szCs w:val="19"/>
        </w:rPr>
        <w:t xml:space="preserve">Working recommendation · </w:t>
      </w:r>
      <w:r>
        <w:rPr>
          <w:rFonts w:ascii="Calibri" w:cs="Calibri" w:eastAsia="Calibri" w:hAnsi="Calibri"/>
          <w:color w:val="50555A"/>
          <w:sz w:val="19"/>
          <w:szCs w:val="19"/>
        </w:rPr>
        <w:t xml:space="preserve">prepared 6 August 2026</w:t>
      </w:r>
      <w:r>
        <w:rPr>
          <w:rFonts w:ascii="Calibri" w:cs="Calibri" w:eastAsia="Calibri" w:hAnsi="Calibri"/>
          <w:color w:val="50555A"/>
          <w:sz w:val="19"/>
          <w:szCs w:val="19"/>
        </w:rPr>
        <w:t xml:space="preserve"> · branch </w:t>
      </w:r>
      <w:r>
        <w:rPr>
          <w:rFonts w:ascii="Consolas" w:cs="Consolas" w:eastAsia="Consolas" w:hAnsi="Consolas"/>
          <w:color w:val="50555A"/>
          <w:sz w:val="19"/>
          <w:szCs w:val="19"/>
        </w:rPr>
        <w:t xml:space="preserve">redesign</w:t>
      </w:r>
    </w:p>
    <w:p>
      <w:pPr>
        <w:pBdr>
          <w:bottom w:val="single" w:color="B3AC9C" w:sz="6"/>
        </w:pBdr>
        <w:spacing w:after="200" w:before="200"/>
      </w:pPr>
    </w:p>
    <w:p>
      <w:pPr>
        <w:pStyle w:val="Heading1"/>
        <w:spacing w:after="140" w:before="0"/>
      </w:pPr>
      <w:r>
        <w:rPr>
          <w:rFonts w:ascii="Calibri" w:cs="Calibri" w:eastAsia="Calibri" w:hAnsi="Calibri"/>
          <w:color w:val="1A1C1E"/>
        </w:rPr>
        <w:t xml:space="preserve">In one paragraph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REF Digital runs a very short page — about five viewports — built from four full-height panels that stack on top of one another as you scroll, each with its own background colour. SpletnaPovsod currently runs roughly nine content blocks down a conventional scroll. A literal one-to-one mapping is therefore impossible: four slots cannot hold nine blocks. What follows is the closest faithful mapping — REF's panel logic applied to our content, which needs seven panels rather than four — with a per-block recommendation, the parts of our own identity and motion that carry over unchanged, and the risks that come with the format.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1A1C1E"/>
        </w:rPr>
        <w:t xml:space="preserve">What we adopt, and what we deliberately do not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This plan adopts REF's compositional logic: full-height panels pinned with CSS sticky, one background per panel, an overlay menu instead of a persistent nav bar, and a small, restrained type scale. Those are generic layout conventions.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It does not take, and must not take: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their copy, headlines or voice;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their typefaces (Habitus and Aeonik are licensed commercial faces);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their palette, imagery, illustrations or motion signatures;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any of their markup or code.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1A1C1E"/>
          <w:sz w:val="21"/>
          <w:szCs w:val="21"/>
        </w:rPr>
        <w:t xml:space="preserve">Everything below is executed in SpletnaPovsod's own REZ 1:1 system — drafting paper over graphite poché, one red, Archivo / Source Serif 4 / Chivo Mono, and our existing motifs and animations. The result should read as our site arranged their way, never as a copy.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1A1C1E"/>
        </w:rPr>
        <w:t xml:space="preserve">1 · What REF's layout actually is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Measured directly in the browser at 1440×900 and 375×812, not recalled:</w:t>
      </w:r>
    </w:p>
    <w:tbl>
      <w:tblPr>
        <w:tblW w:type="pct" w:w="100%"/>
        <w:tblBorders>
          <w:top w:val="single" w:color="B3AC9C" w:sz="4"/>
          <w:left w:val="none"/>
          <w:bottom w:val="single" w:color="B3AC9C" w:sz="4"/>
          <w:right w:val="none"/>
          <w:insideH w:val="single" w:color="D9D3C6" w:sz="2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1A1C1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pct" w:w="30%"/>
            <w:shd w:fill="1A1C1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Mechanics</w:t>
            </w:r>
          </w:p>
        </w:tc>
        <w:tc>
          <w:tcPr>
            <w:tcW w:type="pct" w:w="18%"/>
            <w:shd w:fill="1A1C1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W w:type="pct" w:w="38%"/>
            <w:shd w:fill="1A1C1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Hero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position: relative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height 803px — deliberately SHORTER than the viewport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Near-black warm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Manifesto statement, split into word units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12 media elements, 1 link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No heading element at all</w:t>
            </w:r>
          </w:p>
        </w:tc>
      </w:tr>
      <w:t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About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position: sticky, top 0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min-height 100vh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margin-bottom 50vh — the overlap tuner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Warm greige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One short H2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One link out</w:t>
            </w:r>
          </w:p>
        </w:tc>
      </w:tr>
      <w:t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Work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position: sticky, top 0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min-height 100vh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White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One H2 + eight H3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8 media, 9 links</w:t>
            </w:r>
          </w:p>
        </w:tc>
      </w:tr>
      <w:t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Services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position: sticky, top 0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Warm greige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One H2, four statement rows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1 link out</w:t>
            </w:r>
          </w:p>
        </w:tc>
      </w:tr>
    </w:tbl>
    <w:p>
      <w:pPr>
        <w:spacing w:after="120" w:before="20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Four further facts that matter more than they look: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The whole page is about 4 637px tall on desktop and 3 994px on phone — roughly five viewports. It is a short page, not a long one.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The sticky stack survives unchanged on phone: three panels are still sticky at 375px. The theatre is native scroll, so it needs no touch handling.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There is no GSAP, no Lenis and no Web Animations API in use. 73 elements carry plain CSS transitions. The effect is achieved with sticky positioning and transitions alone.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The display type tops out at 56px at 1440px wide, at weight 300. It is a smaller, lighter scale than most agency sites — and smaller than our current h1 at 57.6px.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1A1C1E"/>
          <w:sz w:val="21"/>
          <w:szCs w:val="21"/>
        </w:rPr>
        <w:t xml:space="preserve">The third point is the important one for us: this layout is achievable with no new dependency, which keeps our build, our performance profile and our no-dependency stance intact.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1A1C1E"/>
        </w:rPr>
        <w:t xml:space="preserve">2 · The core problem: four slots, nine blocks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REF sells four things and shows four panels. We sell one thing and support it with evidence: references, an honesty instrument, an architectural argument, three service pillars, four differentiators, a contact path and a form. Our page is currently about 8 500px tall on phone — more than twice REF's.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There are three honest ways to resolve this, and only one of them is good:</w:t>
      </w:r>
    </w:p>
    <w:tbl>
      <w:tblPr>
        <w:tblW w:type="pct" w:w="100%"/>
        <w:tblBorders>
          <w:top w:val="single" w:color="B3AC9C" w:sz="4"/>
          <w:left w:val="none"/>
          <w:bottom w:val="single" w:color="B3AC9C" w:sz="4"/>
          <w:right w:val="none"/>
          <w:insideH w:val="single" w:color="D9D3C6" w:sz="2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1C1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pct" w:w="44%"/>
            <w:shd w:fill="1A1C1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  <w:tc>
          <w:tcPr>
            <w:tcW w:type="pct" w:w="36%"/>
            <w:shd w:fill="1A1C1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A · Compress to four panels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Cut or fold four of our blocks into the others so the count matches.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Rejected. It would delete the comparison and the differentiators — the two blocks that do the persuading.</w:t>
            </w:r>
          </w:p>
        </w:tc>
      </w:tr>
      <w:t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B · Seven panels, same logic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Keep every block, give each its own full-height panel, apply REF's stacking and colour alternation throughout.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Recommended. Same reading experience, honest to our content volume.</w:t>
            </w:r>
          </w:p>
        </w:tc>
      </w:tr>
      <w:t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C · Hybrid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Panels for the first four blocks, conventional scroll for the rest.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Rejected. The format breaks halfway down and reads as an unfinished port.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color w:val="1A1C1E"/>
        </w:rPr>
        <w:t xml:space="preserve">3 · The mapping, panel by panel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Each row states: the REF slot being echoed, which of our content fills it, what changes about the layout, and which parts of our graphic identity and motion carry into it.</w:t>
      </w:r>
    </w:p>
    <w:tbl>
      <w:tblPr>
        <w:tblW w:type="pct" w:w="100%"/>
        <w:tblBorders>
          <w:top w:val="single" w:color="B3AC9C" w:sz="4"/>
          <w:left w:val="none"/>
          <w:bottom w:val="single" w:color="B3AC9C" w:sz="4"/>
          <w:right w:val="none"/>
          <w:insideH w:val="single" w:color="D9D3C6" w:sz="2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fill="1A1C1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16%"/>
            <w:shd w:fill="1A1C1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 slot</w:t>
            </w:r>
          </w:p>
        </w:tc>
        <w:tc>
          <w:tcPr>
            <w:tcW w:type="pct" w:w="16%"/>
            <w:shd w:fill="1A1C1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Our content</w:t>
            </w:r>
          </w:p>
        </w:tc>
        <w:tc>
          <w:tcPr>
            <w:tcW w:type="pct" w:w="26%"/>
            <w:shd w:fill="1A1C1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Layout recommendation</w:t>
            </w:r>
          </w:p>
        </w:tc>
        <w:tc>
          <w:tcPr>
            <w:tcW w:type="pct" w:w="19%"/>
            <w:shd w:fill="1A1C1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Graphic identity</w:t>
            </w:r>
          </w:p>
        </w:tc>
        <w:tc>
          <w:tcPr>
            <w:tcW w:type="pct" w:w="19%"/>
            <w:shd w:fill="1A1C1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Motion</w:t>
            </w:r>
          </w:p>
        </w:tc>
      </w:tr>
      <w:tr>
        <w:tc>
          <w:tcPr>
            <w:tcW w:type="pct" w:w="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0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Loader panel (z 9999)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The Zarez veil we already ship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No change needed — we already open with a full-bleed hold that lifts. Ours is a pure-CSS timeline that cannot hang.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Cut plane, sheet frame, title block with the real build date.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Wordmark severed by the cut; halves part 1.02–1.64s.</w:t>
            </w:r>
          </w:p>
        </w:tc>
      </w:tr>
      <w:tr>
        <w:tc>
          <w:tcPr>
            <w:tcW w:type="pct" w:w="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Header — absolute, pointer-events none, MENU button opens overlay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Masthead: wordmark, nav (4 anchors), domain readout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The dark masthead band becomes a transparent overlay on the hero. Nav moves into a full-screen menu behind a MENU control; the domain readout stays as a micro-label.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Wordmark in Archivo Narrow caps; domain in Chivo Mono as a machine emission.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Masthead settle at 0.98s stays; menu overlay reuses the native &lt;dialog&gt; pattern already built for the plates work.</w:t>
            </w:r>
          </w:p>
        </w:tc>
      </w:tr>
      <w:tr>
        <w:tc>
          <w:tcPr>
            <w:tcW w:type="pct" w:w="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2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Hero — dark, full-bleed, media grid, statement, shorter than viewport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hero.kicker, h1, lead, both CTAs, the wireframe self-map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Hero goes dark (graphite) and full-bleed, deliberately ~90vh so the next panel's edge shows. The wireframe self-map becomes the media element on the right of the grid.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Graphite ground, paper text, one red CTA block, red accent on »Hitre«.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The staggered settle already built (kicker → h1 → lead → CTA → card, 60–80ms apart).</w:t>
            </w:r>
          </w:p>
        </w:tc>
      </w:tr>
      <w:tr>
        <w:tc>
          <w:tcPr>
            <w:tcW w:type="pct" w:w="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3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About — sticky, greige, one short H2 + one link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The thesis quote, invisible.intro, and a link into the instrument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The owner's line becomes the panel's entire statement, set large. This is the quiet panel: one sentence, one link, nothing else.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Paper ground (--list-2), red left rule on the quote, Source Serif at lead size.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One-shot rule draw on arrival — the existing Prerez draw, reused at panel scale.</w:t>
            </w:r>
          </w:p>
        </w:tc>
      </w:tr>
      <w:tr>
        <w:tc>
          <w:tcPr>
            <w:tcW w:type="pct" w:w="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4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Work — sticky, white, H2 + project headings + media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References: the three project cards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The staggered card grid becomes a full-height panel. Cards keep their two-layer construction; the panel holds heading, intro and all three.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Paper cards over graphite under-layer, seam printing the live URL in mono, client ink chips.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Hover lift on pointer; the existing one-shot arrival lift on touch.</w:t>
            </w:r>
          </w:p>
        </w:tc>
      </w:tr>
      <w:tr>
        <w:tc>
          <w:tcPr>
            <w:tcW w:type="pct" w:w="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5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(no REF equivalent)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The x-ray instrument + the WordPress comparison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Needs its own panel — REF has nothing like it. Keep the human/machine toggle on phone and the side-by-side on desktop; the comparison follows as a second, denser panel.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Graphite poché ground; machine layer in Chivo Mono, guard-verified; comparison rows ruled, no table.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Clip-path wipe between layers (now height-stable); finite attention pulse on the toggle.</w:t>
            </w:r>
          </w:p>
        </w:tc>
      </w:tr>
      <w:tr>
        <w:tc>
          <w:tcPr>
            <w:tcW w:type="pct" w:w="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6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Services — sticky, greige, H2 + four statement rows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Three pillars + four differentiators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This is the tightest fit in the whole mapping. Pillars become the statement rows; differentiators become the measured sub-line under each. Expect to lose the disclosure interaction.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Narrow caps values in red, Source Serif bodies, hairline rules between rows.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Prerez dimension lines carry the measures; one-shot draw per row on arrival.</w:t>
            </w:r>
          </w:p>
        </w:tc>
      </w:tr>
      <w:tr>
        <w:tc>
          <w:tcPr>
            <w:tcW w:type="pct" w:w="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7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Contact + footer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Contact intro, mailto, three steps, the form, footer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Final panel, below grade. Form stays exactly as it is — semantic, accessible, degrade-open.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Earth ground (--zemlja), form as a title block, red stamp submit.</w:t>
            </w:r>
          </w:p>
        </w:tc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Progress line on submit; the minute clock as the page's one loop.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color w:val="1A1C1E"/>
        </w:rPr>
        <w:t xml:space="preserve">4 · What happens to each of our blocks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Read this as the inverse of the table above — every existing block accounted for.</w:t>
      </w:r>
    </w:p>
    <w:tbl>
      <w:tblPr>
        <w:tblW w:type="pct" w:w="100%"/>
        <w:tblBorders>
          <w:top w:val="single" w:color="B3AC9C" w:sz="4"/>
          <w:left w:val="none"/>
          <w:bottom w:val="single" w:color="B3AC9C" w:sz="4"/>
          <w:right w:val="none"/>
          <w:insideH w:val="single" w:color="D9D3C6" w:sz="2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A1C1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pct" w:w="16%"/>
            <w:shd w:fill="1A1C1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Fate</w:t>
            </w:r>
          </w:p>
        </w:tc>
        <w:tc>
          <w:tcPr>
            <w:tcW w:type="pct" w:w="66%"/>
            <w:shd w:fill="1A1C1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Masthead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Reworked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Becomes an overlay header. The four nav anchors move into a full-screen menu. Keep the skip link first in the tab order.</w:t>
            </w:r>
          </w:p>
        </w:tc>
      </w:tr>
      <w:t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Hero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Reworked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Inverts to a dark panel and gains the media grid. Copy unchanged. The &lt;title&gt; dimension line moves to the foot of the panel.</w:t>
            </w:r>
          </w:p>
        </w:tc>
      </w:tr>
      <w:t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References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Preserved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Fills the Work panel. Card construction, srcset, stretched links and the compact index all carry over untouched.</w:t>
            </w:r>
          </w:p>
        </w:tc>
      </w:tr>
      <w:t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X-ray instrument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Preserved, re-housed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Gets its own panel. The honesty guard and its data-fact nodes are unaffected — they are content, not layout.</w:t>
            </w:r>
          </w:p>
        </w:tc>
      </w:tr>
      <w:t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WordPress comparison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Preserved, re-housed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Second half of the same panel, or its own. Six rows is a lot for one viewport; see the risks.</w:t>
            </w:r>
          </w:p>
        </w:tc>
      </w:tr>
      <w:t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Pillars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Compressed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Three disclosure rows become three statement rows. The 16 detail points cannot all sit in one viewport — they move behind the panel's own scroll or into a linked view. THIS IS THE MAIN CONTENT LOSS.</w:t>
            </w:r>
          </w:p>
        </w:tc>
      </w:tr>
      <w:t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Differentiators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Compressed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Four measured claims become sub-lines of the services panel, or a fifth statement row. Measures and glosses are preserved.</w:t>
            </w:r>
          </w:p>
        </w:tc>
      </w:tr>
      <w:t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Contact + form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Preserved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Unchanged. No layout experiment should touch a working form.</w:t>
            </w:r>
          </w:p>
        </w:tc>
      </w:tr>
      <w:t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Footer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Preserved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Shares the final panel. Colophon contract unchanged.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color w:val="1A1C1E"/>
        </w:rPr>
        <w:t xml:space="preserve">5 · What must survive the port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These are not negotiable, and none of them conflicts with the panel format: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Every copy string stays in the typed content module — the build guard asserts all 139 of them appear in the emitted HTML.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The honesty contract: Chivo Mono only on real machine emissions, and the bidirectional guard that proves it (currently 5 displayed against 5 enumerated).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The prerendered HTML must stay complete. Sticky panels are ordinary sections in the flow, so this is safe by construction — but any "reveal on scroll" added on top must animate what the template already declares.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Buried panels need inert while covered, exactly as solved for the plates: focus must never land on a pane hidden under a later one.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The reduced-motion and JS-off editions stay complete and art-directed. Sticky positioning is unaffected by both.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The form: semantic, accessible, honeypot plus sub-2-second reject, degrade-open.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1A1C1E"/>
        </w:rPr>
        <w:t xml:space="preserve">6 · Risks, with numbers</w:t>
      </w:r>
    </w:p>
    <w:tbl>
      <w:tblPr>
        <w:tblW w:type="pct" w:w="100%"/>
        <w:tblBorders>
          <w:top w:val="single" w:color="B3AC9C" w:sz="4"/>
          <w:left w:val="none"/>
          <w:bottom w:val="single" w:color="B3AC9C" w:sz="4"/>
          <w:right w:val="none"/>
          <w:insideH w:val="single" w:color="D9D3C6" w:sz="2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1A1C1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pct" w:w="40%"/>
            <w:shd w:fill="1A1C1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is real</w:t>
            </w:r>
          </w:p>
        </w:tc>
        <w:tc>
          <w:tcPr>
            <w:tcW w:type="pct" w:w="36%"/>
            <w:shd w:fill="1A1C1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Content overflow inside a pinned panel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Our pillars panel would need to hold 3 titles and 16 detail points in 100vh. On a 375×667 phone that is not survivable.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Let dense panels exceed 100vh and stack from their own top rather than pin. REF does this already — its Work panel measures 606px on phone, well under the viewport.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The page gets shorter than the content needs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REF is 5 viewports because it says less. Compressing 8 500px of substance into 5 viewports means deleting substance.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Accept seven panels and a longer page. The format is the stacking, not the length.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Loss of the disclosure interaction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The pillars' native &lt;details&gt; rows carry 16 points that crawlers read while closed. Statement rows have nowhere to put them.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Keep &lt;details&gt; inside the panel, or move the detail to a linked services view. Do not simply cut the points.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Scroll-jacking by accident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Sticky stacks feel engineered; adding scroll-driven scaling or pinning on top tips them into hijack territory.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Native scroll only. No scroll libraries, matching REF's own restraint.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/>
                <w:bCs/>
                <w:color w:val="1A1C1E"/>
                <w:sz w:val="18"/>
                <w:szCs w:val="18"/>
              </w:rPr>
              <w:t xml:space="preserve">Two dark panels in a row</w:t>
            </w:r>
          </w:p>
        </w:tc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Hero (graphite) and the instrument panel (graphite) would read as one long band if they end up adjacent.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1C1E"/>
                <w:sz w:val="18"/>
                <w:szCs w:val="18"/>
              </w:rPr>
              <w:t xml:space="preserve">Alternate grounds strictly: graphite → paper → paper-2 → graphite → paper → earth.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color w:val="1A1C1E"/>
        </w:rPr>
        <w:t xml:space="preserve">7 · Suggested build sequence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Each step is independently shippable and independently reversible.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Step 1 — Panel scaffold. Convert the existing sections to sticky panels with alternating grounds. No content changes. This alone shows whether the format suits the material.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Step 2 — Chrome. Overlay header plus full-screen menu, reusing the dialog pattern already written.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Step 3 — Hero inversion. Dark ground, media grid, self-map placement.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Step 4 — The quiet panel. The thesis line at panel scale.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Step 5 — Services consolidation. The genuinely hard one; do it last, when the rhythm around it is settled.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Step 6 — inert, reduced motion, JS-off and narrow-width verification, exactly as the plates work was verified.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1A1C1E"/>
        </w:rPr>
        <w:t xml:space="preserve">8 · Decisions needed before starting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Do the 16 pillar detail points stay on the home page, move to a linked view, or get cut? This is the only question that changes what a visitor can learn, and it is the owner's call.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Is a longer page acceptable? REF's brevity comes from saying less; we cannot match its length without losing content.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Should the hero go dark? It inverts the current first impression from paper to graphite. Defensible either way.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color w:val="1A1C1E"/>
          <w:sz w:val="21"/>
          <w:szCs w:val="21"/>
        </w:rPr>
        <w:t xml:space="preserve">Does the nav move into an overlay menu on desktop too, or stay visible? REF hides it; hiding navigation is a conversion trade.</w:t>
      </w:r>
    </w:p>
    <w:p>
      <w:pPr>
        <w:pBdr>
          <w:bottom w:val="single" w:color="B3AC9C" w:sz="6"/>
        </w:pBdr>
        <w:spacing w:after="200" w:before="200"/>
      </w:pP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0555A"/>
          <w:sz w:val="19"/>
          <w:szCs w:val="19"/>
        </w:rPr>
        <w:t xml:space="preserve">Everything measured in this document was taken from the live sites on 6 August 2026 and from the current redesign branch. No performance figures appear anywhere in it, because none have been measured in the field.</w:t>
      </w:r>
    </w:p>
    <w:sectPr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 w:val="false"/>
      <w:bCs w:val="false"/>
      <w:color w:val="1A1C1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A1C1E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Mapping SpletnaPovsod onto the REF Digital layout system</dc:title>
  <dc:creator>SpletnaPovsod</dc:creator>
  <dc:description>Working recommendation, August 2026</dc:description>
  <cp:lastModifiedBy>Un-named</cp:lastModifiedBy>
  <cp:revision>1</cp:revision>
  <dcterms:created xsi:type="dcterms:W3CDTF">2026-08-06T16:42:46.636Z</dcterms:created>
  <dcterms:modified xsi:type="dcterms:W3CDTF">2026-08-06T16:42:46.636Z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