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C94764">
      <w:pPr>
        <w:pStyle w:val="Tekst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C94764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</w:t>
          </w:r>
          <w:bookmarkStart w:id="0" w:name="_GoBack"/>
          <w:bookmarkEnd w:id="0"/>
          <w:r>
            <w:t>j</w:t>
          </w:r>
        </w:p>
        <w:p w:rsidR="005A275B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2952445" w:history="1">
            <w:r w:rsidR="005A275B" w:rsidRPr="00BF0A97">
              <w:rPr>
                <w:rStyle w:val="Hyperlink"/>
                <w:noProof/>
              </w:rPr>
              <w:t>1 Uvod</w:t>
            </w:r>
            <w:r w:rsidR="005A275B">
              <w:rPr>
                <w:noProof/>
                <w:webHidden/>
              </w:rPr>
              <w:tab/>
            </w:r>
            <w:r w:rsidR="005A275B">
              <w:rPr>
                <w:noProof/>
                <w:webHidden/>
              </w:rPr>
              <w:fldChar w:fldCharType="begin"/>
            </w:r>
            <w:r w:rsidR="005A275B">
              <w:rPr>
                <w:noProof/>
                <w:webHidden/>
              </w:rPr>
              <w:instrText xml:space="preserve"> PAGEREF _Toc72952445 \h </w:instrText>
            </w:r>
            <w:r w:rsidR="005A275B">
              <w:rPr>
                <w:noProof/>
                <w:webHidden/>
              </w:rPr>
            </w:r>
            <w:r w:rsidR="005A275B">
              <w:rPr>
                <w:noProof/>
                <w:webHidden/>
              </w:rPr>
              <w:fldChar w:fldCharType="separate"/>
            </w:r>
            <w:r w:rsidR="005A275B">
              <w:rPr>
                <w:noProof/>
                <w:webHidden/>
              </w:rPr>
              <w:t>4</w:t>
            </w:r>
            <w:r w:rsidR="005A275B"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46" w:history="1">
            <w:r w:rsidRPr="00BF0A97">
              <w:rPr>
                <w:rStyle w:val="Hyperlink"/>
                <w:noProof/>
              </w:rPr>
              <w:t>2 Nastanak računarstva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47" w:history="1">
            <w:r w:rsidRPr="00BF0A97">
              <w:rPr>
                <w:rStyle w:val="Hyperlink"/>
                <w:noProof/>
              </w:rPr>
              <w:t>2.1 Monolitne i slojevite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48" w:history="1">
            <w:r w:rsidRPr="00BF0A97">
              <w:rPr>
                <w:rStyle w:val="Hyperlink"/>
                <w:noProof/>
              </w:rPr>
              <w:t>2.2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49" w:history="1">
            <w:r w:rsidRPr="00BF0A97">
              <w:rPr>
                <w:rStyle w:val="Hyperlink"/>
                <w:noProof/>
              </w:rPr>
              <w:t>2.3 Virtuelizacija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0" w:history="1">
            <w:r w:rsidRPr="00BF0A97">
              <w:rPr>
                <w:rStyle w:val="Hyperlink"/>
                <w:noProof/>
              </w:rPr>
              <w:t>2.4 Ra</w:t>
            </w:r>
            <w:r w:rsidRPr="00BF0A97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1" w:history="1">
            <w:r w:rsidRPr="00BF0A97">
              <w:rPr>
                <w:rStyle w:val="Hyperlink"/>
                <w:noProof/>
              </w:rPr>
              <w:t>2.5 Ra</w:t>
            </w:r>
            <w:r w:rsidRPr="00BF0A97">
              <w:rPr>
                <w:rStyle w:val="Hyperlink"/>
                <w:noProof/>
                <w:lang w:val="sr-Latn-RS"/>
              </w:rPr>
              <w:t>čunarstvo</w:t>
            </w:r>
            <w:r w:rsidRPr="00BF0A97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2" w:history="1">
            <w:r w:rsidRPr="00BF0A97">
              <w:rPr>
                <w:rStyle w:val="Hyperlink"/>
                <w:noProof/>
              </w:rPr>
              <w:t>2.5.1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3" w:history="1">
            <w:r w:rsidRPr="00BF0A97">
              <w:rPr>
                <w:rStyle w:val="Hyperlink"/>
                <w:noProof/>
              </w:rPr>
              <w:t>2.5.2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4" w:history="1">
            <w:r w:rsidRPr="00BF0A97">
              <w:rPr>
                <w:rStyle w:val="Hyperlink"/>
                <w:noProof/>
              </w:rPr>
              <w:t>2.5.3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5" w:history="1">
            <w:r w:rsidRPr="00BF0A97">
              <w:rPr>
                <w:rStyle w:val="Hyperlink"/>
                <w:noProof/>
              </w:rPr>
              <w:t>3 Funkcija kao servis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6" w:history="1">
            <w:r w:rsidRPr="00BF0A97">
              <w:rPr>
                <w:rStyle w:val="Hyperlink"/>
                <w:noProof/>
              </w:rPr>
              <w:t>3.1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7" w:history="1">
            <w:r w:rsidRPr="00BF0A97">
              <w:rPr>
                <w:rStyle w:val="Hyperlink"/>
                <w:noProof/>
              </w:rPr>
              <w:t>3.1.1 Izvr</w:t>
            </w:r>
            <w:r w:rsidRPr="00BF0A97">
              <w:rPr>
                <w:rStyle w:val="Hyperlink"/>
                <w:noProof/>
                <w:lang w:val="sr-Latn-RS"/>
              </w:rPr>
              <w:t>šno okruženje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8" w:history="1">
            <w:r w:rsidRPr="00BF0A97">
              <w:rPr>
                <w:rStyle w:val="Hyperlink"/>
                <w:noProof/>
              </w:rPr>
              <w:t>3.1.2 Funkcije i aplikacije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59" w:history="1">
            <w:r w:rsidRPr="00BF0A97">
              <w:rPr>
                <w:rStyle w:val="Hyperlink"/>
                <w:noProof/>
              </w:rPr>
              <w:t>3.1.3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0" w:history="1">
            <w:r w:rsidRPr="00BF0A97">
              <w:rPr>
                <w:rStyle w:val="Hyperlink"/>
                <w:noProof/>
              </w:rPr>
              <w:t>3.1.4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1" w:history="1">
            <w:r w:rsidRPr="00BF0A97">
              <w:rPr>
                <w:rStyle w:val="Hyperlink"/>
                <w:noProof/>
              </w:rPr>
              <w:t>3.1.5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2" w:history="1">
            <w:r w:rsidRPr="00BF0A97">
              <w:rPr>
                <w:rStyle w:val="Hyperlink"/>
                <w:noProof/>
              </w:rPr>
              <w:t>3.1.6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3" w:history="1">
            <w:r w:rsidRPr="00BF0A97">
              <w:rPr>
                <w:rStyle w:val="Hyperlink"/>
                <w:noProof/>
                <w:lang w:val="sr-Latn-RS"/>
              </w:rPr>
              <w:t>3.2 Druge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4" w:history="1">
            <w:r w:rsidRPr="00BF0A97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5" w:history="1">
            <w:r w:rsidRPr="00BF0A97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6" w:history="1">
            <w:r w:rsidRPr="00BF0A97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7" w:history="1">
            <w:r w:rsidRPr="00BF0A97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8" w:history="1">
            <w:r w:rsidRPr="00BF0A97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69" w:history="1">
            <w:r w:rsidRPr="00BF0A97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0" w:history="1">
            <w:r w:rsidRPr="00BF0A97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1" w:history="1">
            <w:r w:rsidRPr="00BF0A97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2" w:history="1">
            <w:r w:rsidRPr="00BF0A97">
              <w:rPr>
                <w:rStyle w:val="Hyperlink"/>
                <w:noProof/>
              </w:rPr>
              <w:t>5.1 Resursi na platformi u oblaku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3" w:history="1">
            <w:r w:rsidRPr="00BF0A97">
              <w:rPr>
                <w:rStyle w:val="Hyperlink"/>
                <w:noProof/>
              </w:rPr>
              <w:t>5.2 Postavljanje na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4" w:history="1">
            <w:r w:rsidRPr="00BF0A97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5" w:history="1">
            <w:r w:rsidRPr="00BF0A97">
              <w:rPr>
                <w:rStyle w:val="Hyperlink"/>
                <w:noProof/>
              </w:rPr>
              <w:t>5.4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75B" w:rsidRDefault="005A27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2952476" w:history="1">
            <w:r w:rsidRPr="00BF0A97">
              <w:rPr>
                <w:rStyle w:val="Hyperlink"/>
                <w:noProof/>
              </w:rPr>
              <w:t>6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1" w:name="_Toc72952445"/>
      <w:r>
        <w:lastRenderedPageBreak/>
        <w:t xml:space="preserve">1 </w:t>
      </w:r>
      <w:r w:rsidR="00DE0B5A">
        <w:t>Uvod</w:t>
      </w:r>
      <w:bookmarkEnd w:id="1"/>
    </w:p>
    <w:p w:rsidR="008C211F" w:rsidRPr="00CB3B11" w:rsidRDefault="00C36623" w:rsidP="00C94764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94764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C94764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94764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94764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94764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94764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C94764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2" w:name="_Toc72952446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2"/>
    </w:p>
    <w:p w:rsidR="005E1A04" w:rsidRDefault="001B5A70" w:rsidP="00C94764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3" w:name="_Toc72952447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3"/>
    </w:p>
    <w:p w:rsidR="00A63298" w:rsidRDefault="00DF258C" w:rsidP="00C94764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C94764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4" w:name="_Toc72952448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4"/>
    </w:p>
    <w:p w:rsidR="00C12E83" w:rsidRDefault="00503EF2" w:rsidP="00C94764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C94764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C94764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EndPr/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C94764">
      <w:pPr>
        <w:pStyle w:val="Tekst"/>
        <w:rPr>
          <w:lang w:val="sr-Latn-RS"/>
        </w:rPr>
      </w:pPr>
    </w:p>
    <w:p w:rsidR="005C7317" w:rsidRDefault="00C65CEC" w:rsidP="00C94764">
      <w:pPr>
        <w:pStyle w:val="Teks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EndPr/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5" w:name="_Toc72952449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5"/>
    </w:p>
    <w:p w:rsidR="00CE6CB8" w:rsidRDefault="007A7F64" w:rsidP="00C94764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C94764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C94764">
      <w:pPr>
        <w:pStyle w:val="Tekst"/>
        <w:rPr>
          <w:lang w:val="sr-Latn-RS"/>
        </w:rPr>
      </w:pPr>
    </w:p>
    <w:p w:rsidR="00CD153D" w:rsidRDefault="00416901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C94764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6" w:name="_Toc72952450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6"/>
    </w:p>
    <w:p w:rsidR="008C7E1C" w:rsidRDefault="008C7E1C" w:rsidP="00C94764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C94764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7" w:name="_Toc72952451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7"/>
    </w:p>
    <w:p w:rsidR="00C40991" w:rsidRDefault="00546024" w:rsidP="00C94764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94764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8" w:name="_Toc72952452"/>
      <w:r>
        <w:lastRenderedPageBreak/>
        <w:t>2.5.1 Funkcija kao servis</w:t>
      </w:r>
      <w:bookmarkEnd w:id="8"/>
    </w:p>
    <w:p w:rsidR="00C233C0" w:rsidRDefault="00F51C9A" w:rsidP="00C94764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C94764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C94764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C94764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C94764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C94764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9" w:name="_Toc72952453"/>
      <w:r>
        <w:t>2.5.2 Osobine</w:t>
      </w:r>
      <w:bookmarkEnd w:id="9"/>
    </w:p>
    <w:p w:rsidR="00AD1FC8" w:rsidRDefault="00D066E3" w:rsidP="00C94764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10" w:name="_Toc72952454"/>
      <w:r>
        <w:t>2.5.3 Prednosti i nedostaci</w:t>
      </w:r>
      <w:bookmarkEnd w:id="10"/>
    </w:p>
    <w:p w:rsidR="00265791" w:rsidRDefault="00A91F01" w:rsidP="00C94764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D15F81" w:rsidRDefault="000C7C83" w:rsidP="00D15F81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  <w:r w:rsidR="00D15F81"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1" w:name="_Toc72952455"/>
      <w:r>
        <w:rPr>
          <w:rFonts w:hint="eastAsia"/>
        </w:rPr>
        <w:lastRenderedPageBreak/>
        <w:t xml:space="preserve">3 </w:t>
      </w:r>
      <w:r w:rsidR="00875AFA">
        <w:t>Funkcija kao servis platforme</w:t>
      </w:r>
      <w:bookmarkEnd w:id="11"/>
    </w:p>
    <w:p w:rsidR="004B38B2" w:rsidRDefault="004B38B2" w:rsidP="00C94764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2" w:name="_Toc72952456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2"/>
    </w:p>
    <w:p w:rsidR="001C6CCF" w:rsidRPr="001C6CCF" w:rsidRDefault="001C6CCF" w:rsidP="00C94764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3" w:name="_Toc72952457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3"/>
    </w:p>
    <w:p w:rsidR="004B0741" w:rsidRDefault="001C6CCF" w:rsidP="00C94764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C94764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EndPr/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C9476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4" w:name="_Toc72952458"/>
      <w:r>
        <w:t>3.1</w:t>
      </w:r>
      <w:r w:rsidR="00E03497">
        <w:t xml:space="preserve">.2 </w:t>
      </w:r>
      <w:r w:rsidR="00CA3A1D">
        <w:t>Funkcije i aplikacije funkcija</w:t>
      </w:r>
      <w:bookmarkEnd w:id="14"/>
    </w:p>
    <w:p w:rsidR="000375EF" w:rsidRDefault="00C14AA3" w:rsidP="00C94764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 xml:space="preserve">. U ovoj datoteci definisan je okidač, sva vezivanja </w:t>
      </w:r>
      <w:r w:rsidR="00966A9A">
        <w:lastRenderedPageBreak/>
        <w:t>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DB1AA5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5" w:name="_MON_1660652700"/>
    <w:bookmarkEnd w:id="15"/>
    <w:p w:rsidR="00F2328A" w:rsidRDefault="00C103E0" w:rsidP="00C94764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3565414" r:id="rId15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C94764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EndPr/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6" w:name="_Toc72952459"/>
      <w:r>
        <w:t>3.1.3 Lokalni razvoj</w:t>
      </w:r>
      <w:bookmarkEnd w:id="16"/>
    </w:p>
    <w:p w:rsidR="00E4431E" w:rsidRDefault="002401A7" w:rsidP="00C94764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</w:t>
      </w:r>
      <w:r w:rsidR="00D712A5">
        <w:rPr>
          <w:lang w:val="sr-Latn-RS"/>
        </w:rPr>
        <w:lastRenderedPageBreak/>
        <w:t>za pisanje koda samih funkcija i druga okruženja koja olakšavaju rad u izabranom jeziku.</w:t>
      </w:r>
    </w:p>
    <w:p w:rsidR="00C80B3F" w:rsidRDefault="00D712A5" w:rsidP="00C94764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7" w:name="_MON_1660751122"/>
    <w:bookmarkEnd w:id="17"/>
    <w:p w:rsidR="00C80B3F" w:rsidRDefault="00C80B3F" w:rsidP="00C94764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6" o:title=""/>
          </v:shape>
          <o:OLEObject Type="Embed" ProgID="Word.OpenDocumentText.12" ShapeID="_x0000_i1026" DrawAspect="Content" ObjectID="_1683565415" r:id="rId17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C94764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8" w:name="_MON_1660649118"/>
    <w:bookmarkEnd w:id="18"/>
    <w:p w:rsidR="00F37E2E" w:rsidRDefault="00F37E2E" w:rsidP="00C94764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3565416" r:id="rId19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C94764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9" w:name="_MON_1660753959"/>
    <w:bookmarkEnd w:id="19"/>
    <w:p w:rsidR="00E103C7" w:rsidRDefault="00E103C7" w:rsidP="00C94764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3565417" r:id="rId22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C94764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20" w:name="_MON_1660649593"/>
    <w:bookmarkEnd w:id="20"/>
    <w:p w:rsidR="00334B1E" w:rsidRDefault="00F37E2E" w:rsidP="00C94764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3565418" r:id="rId24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1" w:name="_Toc72952460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1"/>
    </w:p>
    <w:p w:rsidR="00B47202" w:rsidRPr="00F2506A" w:rsidRDefault="00933462" w:rsidP="00F2506A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C94764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C94764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2" w:name="_MON_1661087029"/>
    <w:bookmarkEnd w:id="22"/>
    <w:p w:rsidR="0080253E" w:rsidRDefault="0080253E" w:rsidP="00C94764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3565419" r:id="rId26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3" w:name="_MON_1661088204"/>
    <w:bookmarkEnd w:id="23"/>
    <w:p w:rsidR="004215C9" w:rsidRDefault="00BB3DA2" w:rsidP="00C94764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3565420" r:id="rId28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850197" w:rsidP="00F2506A">
      <w:pPr>
        <w:pStyle w:val="Naslov3"/>
      </w:pPr>
      <w:bookmarkStart w:id="24" w:name="_Toc72952461"/>
      <w:r>
        <w:lastRenderedPageBreak/>
        <w:t>3.1.5 Trajne funkcije</w:t>
      </w:r>
      <w:bookmarkEnd w:id="24"/>
    </w:p>
    <w:p w:rsidR="00850197" w:rsidRDefault="00850197" w:rsidP="00850197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850197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850197" w:rsidP="00F2506A">
      <w:pPr>
        <w:pStyle w:val="Naslov3"/>
      </w:pPr>
      <w:bookmarkStart w:id="25" w:name="_Toc72952462"/>
      <w:r>
        <w:t>3.1.6</w:t>
      </w:r>
      <w:r w:rsidR="00E03497">
        <w:t xml:space="preserve"> </w:t>
      </w:r>
      <w:r w:rsidR="00656951">
        <w:t>Postavljanje na Azure platformu</w:t>
      </w:r>
      <w:bookmarkEnd w:id="25"/>
    </w:p>
    <w:p w:rsidR="00185C0D" w:rsidRDefault="00185C0D" w:rsidP="00C94764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6" w:name="_MON_1661256869"/>
    <w:bookmarkEnd w:id="26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3565421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C94764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C94764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C94764">
      <w:pPr>
        <w:pStyle w:val="Tekst"/>
        <w:rPr>
          <w:lang w:val="sr-Latn-RS"/>
        </w:rPr>
      </w:pPr>
      <w:r>
        <w:rPr>
          <w:lang w:val="sr-Latn-RS"/>
        </w:rPr>
        <w:lastRenderedPageBreak/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7" w:name="_MON_1661269666"/>
    <w:bookmarkEnd w:id="27"/>
    <w:p w:rsidR="00DF1270" w:rsidRDefault="00123931" w:rsidP="00C94764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3565422" r:id="rId32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</w:p>
    <w:p w:rsidR="005C15BB" w:rsidRDefault="005C15BB" w:rsidP="007860F0">
      <w:pPr>
        <w:pStyle w:val="Naslov2"/>
        <w:rPr>
          <w:lang w:val="sr-Latn-RS"/>
        </w:rPr>
      </w:pPr>
      <w:bookmarkStart w:id="28" w:name="_Toc72952463"/>
      <w:r>
        <w:rPr>
          <w:lang w:val="sr-Latn-RS"/>
        </w:rPr>
        <w:t xml:space="preserve">3.2 </w:t>
      </w:r>
      <w:r w:rsidR="007860F0">
        <w:rPr>
          <w:lang w:val="sr-Latn-RS"/>
        </w:rPr>
        <w:t>Druge platforme</w:t>
      </w:r>
      <w:bookmarkEnd w:id="28"/>
    </w:p>
    <w:p w:rsidR="00227FA1" w:rsidRDefault="00940FF9" w:rsidP="00227FA1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</w:t>
      </w:r>
      <w:r w:rsidR="0061703A">
        <w:rPr>
          <w:lang w:val="sr-Latn-RS"/>
        </w:rPr>
        <w:t xml:space="preserve">ovom </w:t>
      </w:r>
      <w:r>
        <w:rPr>
          <w:lang w:val="sr-Latn-RS"/>
        </w:rPr>
        <w:t xml:space="preserve">modelu je svakako </w:t>
      </w:r>
      <w:r w:rsidR="002B0327">
        <w:rPr>
          <w:lang w:val="sr-Latn-RS"/>
        </w:rPr>
        <w:t xml:space="preserve">Amazon </w:t>
      </w:r>
      <w:r>
        <w:rPr>
          <w:lang w:val="sr-Latn-RS"/>
        </w:rPr>
        <w:t xml:space="preserve">AWS Lambda. Ova platforma omogućava pisanje funkcija bez stanja u jezicima Java, Python, C#, Node.js, Go, Ruby i PowerShell. </w:t>
      </w:r>
      <w:r w:rsidR="002B0327">
        <w:rPr>
          <w:lang w:val="sr-Latn-RS"/>
        </w:rPr>
        <w:t xml:space="preserve">Funkcije se pokreću na osnovu događaja na drugim servisima na AWS platformi u oblaku, kao što su postavljanje dokumenta na S3 servis za skladištenje, prosleđen HTTP zahtev sa API Gateway servisa i mnogi drugi. Za debagovanje i nadgledanje </w:t>
      </w:r>
      <w:r w:rsidR="00E3634D">
        <w:rPr>
          <w:lang w:val="sr-Latn-RS"/>
        </w:rPr>
        <w:t>aplikacija</w:t>
      </w:r>
      <w:r w:rsidR="002B0327">
        <w:rPr>
          <w:lang w:val="sr-Latn-RS"/>
        </w:rPr>
        <w:t xml:space="preserve"> mogu se koristiti AWS X-Ray i Amazon Cloud Watch servisi. </w:t>
      </w:r>
      <w:r w:rsidR="00E3634D">
        <w:rPr>
          <w:lang w:val="sr-Latn-RS"/>
        </w:rPr>
        <w:t>Pored toga dostupan je AWS Serverless Application Repository gde je moguće pronaći gotove aplikacije ili funkcije razvijene od strane zajednice koje je moguće koristiti.</w:t>
      </w:r>
    </w:p>
    <w:p w:rsidR="00C34E7F" w:rsidRDefault="0061703A" w:rsidP="00C34E7F">
      <w:pPr>
        <w:pStyle w:val="Tekst"/>
        <w:rPr>
          <w:lang w:val="sr-Latn-RS"/>
        </w:rPr>
      </w:pPr>
      <w:r>
        <w:rPr>
          <w:lang w:val="sr-Latn-RS"/>
        </w:rPr>
        <w:t xml:space="preserve">Google Cloud Functions je funkcija kao servis platforma kompanije Google. Podržani jezici su Go, Node.js, Java i Python. Platforma ima integrisane funkcionalnosti za </w:t>
      </w:r>
      <w:r>
        <w:rPr>
          <w:lang w:val="sr-Latn-RS"/>
        </w:rPr>
        <w:lastRenderedPageBreak/>
        <w:t xml:space="preserve">debagovanje, nadgledanje i upis u dnevnik datoteke. </w:t>
      </w:r>
      <w:r w:rsidR="004C1DFD">
        <w:rPr>
          <w:lang w:val="sr-Latn-RS"/>
        </w:rPr>
        <w:t xml:space="preserve">Funkcije se pokreću na osnovu HTTP zahteva ili događaja na servisima Google Cloud platforme. </w:t>
      </w:r>
      <w:r w:rsidR="00984C6D">
        <w:rPr>
          <w:lang w:val="sr-Latn-RS"/>
        </w:rPr>
        <w:t>Kod funkcija je moguće modifikovati lokalno i preko veb portala platforme.</w:t>
      </w:r>
      <w:r w:rsidR="00C34E7F">
        <w:rPr>
          <w:lang w:val="sr-Latn-RS"/>
        </w:rPr>
        <w:t xml:space="preserve"> </w:t>
      </w:r>
      <w:r w:rsidR="00D7185B">
        <w:rPr>
          <w:lang w:val="sr-Latn-RS"/>
        </w:rPr>
        <w:t xml:space="preserve">Platforme velikih ispručioca na ovom modelu </w:t>
      </w:r>
      <w:r w:rsidR="00C34E7F">
        <w:rPr>
          <w:lang w:val="sr-Latn-RS"/>
        </w:rPr>
        <w:t>upotpunjuju IBM Cloud Functions i Oracle Cloud Functions.</w:t>
      </w:r>
    </w:p>
    <w:p w:rsidR="00C34E7F" w:rsidRDefault="00B97300" w:rsidP="00C34E7F">
      <w:pPr>
        <w:pStyle w:val="Tekst"/>
        <w:rPr>
          <w:lang w:val="sr-Latn-RS"/>
        </w:rPr>
      </w:pPr>
      <w:r>
        <w:rPr>
          <w:lang w:val="sr-Latn-RS"/>
        </w:rPr>
        <w:t>Najz</w:t>
      </w:r>
      <w:r w:rsidR="00092737">
        <w:rPr>
          <w:lang w:val="sr-Latn-RS"/>
        </w:rPr>
        <w:t>načajniji</w:t>
      </w:r>
      <w:r>
        <w:rPr>
          <w:lang w:val="sr-Latn-RS"/>
        </w:rPr>
        <w:t xml:space="preserve"> </w:t>
      </w:r>
      <w:r w:rsidR="00092737">
        <w:rPr>
          <w:lang w:val="sr-Latn-RS"/>
        </w:rPr>
        <w:t xml:space="preserve">projekat </w:t>
      </w:r>
      <w:r w:rsidR="00C34E7F">
        <w:rPr>
          <w:lang w:val="sr-Latn-RS"/>
        </w:rPr>
        <w:t xml:space="preserve">otvorenog koda na ovom modelu je </w:t>
      </w:r>
      <w:r>
        <w:rPr>
          <w:lang w:val="sr-Latn-RS"/>
        </w:rPr>
        <w:t xml:space="preserve">Apache OpenWhisk. Platfomu je moguće hostovati na Kubernetes klasteru na lokalnim serverima ili na </w:t>
      </w:r>
      <w:r w:rsidR="00092737">
        <w:rPr>
          <w:lang w:val="sr-Latn-RS"/>
        </w:rPr>
        <w:t>nekim od Kubernetes servisa na platformama u</w:t>
      </w:r>
      <w:r>
        <w:rPr>
          <w:lang w:val="sr-Latn-RS"/>
        </w:rPr>
        <w:t xml:space="preserve"> oblaku.</w:t>
      </w:r>
      <w:r w:rsidR="00092737">
        <w:rPr>
          <w:lang w:val="sr-Latn-RS"/>
        </w:rPr>
        <w:t xml:space="preserve"> Takođe IBM Cloud Functions je bazirana na ovom projektu i moguće je koristiti kao gotovo rešenje na platformi ovog isporučioca. Podržani su jezici Go, Java, Javascript, C#, Python, PHP, Ruby i Swift. Projekat pruža </w:t>
      </w:r>
      <w:r w:rsidR="00D7185B">
        <w:rPr>
          <w:lang w:val="sr-Latn-RS"/>
        </w:rPr>
        <w:t xml:space="preserve">i alate komandne linije za kreiranje i debagovanje funkcija, kao i za postavljanje </w:t>
      </w:r>
      <w:r w:rsidR="0029701A">
        <w:rPr>
          <w:lang w:val="sr-Latn-RS"/>
        </w:rPr>
        <w:t>i upravljanje funkcijama</w:t>
      </w:r>
      <w:r w:rsidR="00D33860">
        <w:rPr>
          <w:lang w:val="sr-Latn-RS"/>
        </w:rPr>
        <w:t xml:space="preserve"> u produkciji</w:t>
      </w:r>
      <w:r w:rsidR="0029701A">
        <w:rPr>
          <w:lang w:val="sr-Latn-RS"/>
        </w:rPr>
        <w:t>.</w:t>
      </w:r>
      <w:r w:rsidR="00D7185B">
        <w:rPr>
          <w:lang w:val="sr-Latn-RS"/>
        </w:rPr>
        <w:t xml:space="preserve"> </w:t>
      </w:r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9" w:name="_Toc40034695"/>
      <w:r>
        <w:br w:type="page"/>
      </w:r>
    </w:p>
    <w:p w:rsidR="00816EE7" w:rsidRDefault="00816EE7" w:rsidP="00816EE7">
      <w:pPr>
        <w:pStyle w:val="Naslov1"/>
      </w:pPr>
      <w:bookmarkStart w:id="30" w:name="_Toc72952464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9"/>
      <w:bookmarkEnd w:id="30"/>
    </w:p>
    <w:p w:rsidR="00816EE7" w:rsidRDefault="00816EE7" w:rsidP="00816EE7">
      <w:pPr>
        <w:pStyle w:val="Naslov2"/>
      </w:pPr>
      <w:bookmarkStart w:id="31" w:name="_Toc40034696"/>
      <w:bookmarkStart w:id="32" w:name="_Toc72952465"/>
      <w:r>
        <w:rPr>
          <w:rFonts w:hint="eastAsia"/>
        </w:rPr>
        <w:t xml:space="preserve">4.1 Funkcionalni opis </w:t>
      </w:r>
      <w:r>
        <w:t>i arhitektura</w:t>
      </w:r>
      <w:bookmarkEnd w:id="32"/>
      <w:r>
        <w:t xml:space="preserve"> </w:t>
      </w:r>
      <w:bookmarkEnd w:id="31"/>
    </w:p>
    <w:p w:rsidR="00816EE7" w:rsidRDefault="00816EE7" w:rsidP="00816EE7">
      <w:pPr>
        <w:pStyle w:val="Naslov2"/>
      </w:pPr>
      <w:bookmarkStart w:id="33" w:name="_Toc40034697"/>
      <w:bookmarkStart w:id="34" w:name="_Toc72952466"/>
      <w:r>
        <w:rPr>
          <w:rFonts w:hint="eastAsia"/>
        </w:rPr>
        <w:t xml:space="preserve">4.2 </w:t>
      </w:r>
      <w:bookmarkEnd w:id="33"/>
      <w:r>
        <w:t>Implementacija servisa</w:t>
      </w:r>
      <w:bookmarkEnd w:id="34"/>
    </w:p>
    <w:p w:rsidR="00816EE7" w:rsidRDefault="00816EE7" w:rsidP="00F2506A">
      <w:pPr>
        <w:pStyle w:val="Naslov3"/>
      </w:pPr>
      <w:bookmarkStart w:id="35" w:name="_Toc72952467"/>
      <w:r>
        <w:t>4.2.1 Struktura projekta</w:t>
      </w:r>
      <w:bookmarkEnd w:id="35"/>
    </w:p>
    <w:p w:rsidR="00816EE7" w:rsidRDefault="00816EE7" w:rsidP="00F2506A">
      <w:pPr>
        <w:pStyle w:val="Naslov3"/>
      </w:pPr>
      <w:bookmarkStart w:id="36" w:name="_Toc72952468"/>
      <w:r>
        <w:t>4.2.2 Baza podataka</w:t>
      </w:r>
      <w:bookmarkEnd w:id="36"/>
    </w:p>
    <w:p w:rsidR="00816EE7" w:rsidRDefault="00816EE7" w:rsidP="00F2506A">
      <w:pPr>
        <w:pStyle w:val="Naslov3"/>
      </w:pPr>
      <w:bookmarkStart w:id="37" w:name="_Toc72952469"/>
      <w:r>
        <w:t xml:space="preserve">4.2.3 API </w:t>
      </w:r>
      <w:r w:rsidR="00CB5B8B">
        <w:t>r</w:t>
      </w:r>
      <w:r>
        <w:t>esursi</w:t>
      </w:r>
      <w:bookmarkEnd w:id="37"/>
    </w:p>
    <w:p w:rsidR="00816EE7" w:rsidRPr="00816EE7" w:rsidRDefault="00816EE7" w:rsidP="00F2506A">
      <w:pPr>
        <w:pStyle w:val="Naslov3"/>
      </w:pPr>
      <w:bookmarkStart w:id="38" w:name="_Toc72952470"/>
      <w:r>
        <w:t>4.2.4 Impl</w:t>
      </w:r>
      <w:r w:rsidR="005801F5">
        <w:t>e</w:t>
      </w:r>
      <w:r>
        <w:t>mentacija funkcija</w:t>
      </w:r>
      <w:bookmarkEnd w:id="38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9" w:name="_Toc40034699"/>
      <w:r>
        <w:br w:type="page"/>
      </w:r>
    </w:p>
    <w:p w:rsidR="00816EE7" w:rsidRDefault="00816EE7" w:rsidP="00816EE7">
      <w:pPr>
        <w:pStyle w:val="Naslov1"/>
      </w:pPr>
      <w:bookmarkStart w:id="40" w:name="_Toc72952471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9"/>
      <w:bookmarkEnd w:id="40"/>
    </w:p>
    <w:p w:rsidR="00A15DDB" w:rsidRPr="00A15DDB" w:rsidRDefault="00816EE7" w:rsidP="00A15DDB">
      <w:pPr>
        <w:pStyle w:val="Naslov2"/>
      </w:pPr>
      <w:bookmarkStart w:id="41" w:name="_Toc40034700"/>
      <w:bookmarkStart w:id="42" w:name="_Toc72952472"/>
      <w:r>
        <w:rPr>
          <w:rFonts w:hint="eastAsia"/>
        </w:rPr>
        <w:t xml:space="preserve">5.1 </w:t>
      </w:r>
      <w:bookmarkEnd w:id="41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2"/>
    </w:p>
    <w:p w:rsidR="00BE44B7" w:rsidRDefault="00BE44B7" w:rsidP="00A15DDB">
      <w:pPr>
        <w:pStyle w:val="Naslov2"/>
      </w:pPr>
      <w:bookmarkStart w:id="43" w:name="_Toc72952473"/>
      <w:r>
        <w:t>5.2 Postavljanje na platformu</w:t>
      </w:r>
      <w:bookmarkEnd w:id="43"/>
    </w:p>
    <w:p w:rsidR="00A15DDB" w:rsidRDefault="00A15DDB" w:rsidP="00A15DDB">
      <w:pPr>
        <w:pStyle w:val="Naslov2"/>
      </w:pPr>
      <w:bookmarkStart w:id="44" w:name="_Toc72952474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2952475"/>
      <w:r>
        <w:t>5.4 Testiranje</w:t>
      </w:r>
      <w:bookmarkEnd w:id="45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FD58DA">
      <w:pPr>
        <w:pStyle w:val="Naslov1"/>
      </w:pPr>
      <w:bookmarkStart w:id="46" w:name="_Toc72952476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AC8" w:rsidRDefault="00FB5AC8" w:rsidP="00E8653D">
      <w:pPr>
        <w:rPr>
          <w:rFonts w:hint="eastAsia"/>
        </w:rPr>
      </w:pPr>
      <w:r>
        <w:separator/>
      </w:r>
    </w:p>
  </w:endnote>
  <w:endnote w:type="continuationSeparator" w:id="0">
    <w:p w:rsidR="00FB5AC8" w:rsidRDefault="00FB5AC8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5EF0" w:rsidRDefault="00495EF0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75B">
          <w:rPr>
            <w:rFonts w:hint="eastAsia"/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5EF0" w:rsidRDefault="00495EF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AC8" w:rsidRDefault="00FB5AC8" w:rsidP="00E8653D">
      <w:pPr>
        <w:rPr>
          <w:rFonts w:hint="eastAsia"/>
        </w:rPr>
      </w:pPr>
      <w:r>
        <w:separator/>
      </w:r>
    </w:p>
  </w:footnote>
  <w:footnote w:type="continuationSeparator" w:id="0">
    <w:p w:rsidR="00FB5AC8" w:rsidRDefault="00FB5AC8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2737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A9D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9701A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D756D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5EF0"/>
    <w:rsid w:val="004979DC"/>
    <w:rsid w:val="004A12EB"/>
    <w:rsid w:val="004A5BA1"/>
    <w:rsid w:val="004B0741"/>
    <w:rsid w:val="004B38B2"/>
    <w:rsid w:val="004C1DFD"/>
    <w:rsid w:val="004D0766"/>
    <w:rsid w:val="004D2987"/>
    <w:rsid w:val="004E1BB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A275B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860F0"/>
    <w:rsid w:val="00793C0C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0FF9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9730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44B7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4E7F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33860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3634D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AC8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C9476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CCE66BEC-9756-4052-9FA8-86CF6B27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</Pages>
  <Words>5760</Words>
  <Characters>32835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386</cp:revision>
  <cp:lastPrinted>2021-05-14T15:47:00Z</cp:lastPrinted>
  <dcterms:created xsi:type="dcterms:W3CDTF">2020-05-10T16:44:00Z</dcterms:created>
  <dcterms:modified xsi:type="dcterms:W3CDTF">2021-05-26T18:17:00Z</dcterms:modified>
</cp:coreProperties>
</file>