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C94764">
      <w:pPr>
        <w:pStyle w:val="Tekst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t>Matematički fakultet</w:t>
      </w:r>
      <w:r>
        <w:br/>
      </w:r>
      <w:r>
        <w:br/>
      </w:r>
      <w:r>
        <w:br/>
        <w:t>Master rad</w:t>
      </w:r>
      <w:r>
        <w:br/>
      </w:r>
      <w:r>
        <w:br/>
      </w:r>
      <w:r>
        <w:br/>
      </w:r>
      <w:r>
        <w:br/>
      </w:r>
      <w:r>
        <w:br/>
      </w:r>
      <w:r w:rsidR="008D2566" w:rsidRPr="00650486">
        <w:rPr>
          <w:szCs w:val="44"/>
        </w:rPr>
        <w:t>Razvoj REST servisa u stilu arhitekture</w:t>
      </w:r>
      <w:r w:rsidR="00226725" w:rsidRPr="00650486">
        <w:rPr>
          <w:szCs w:val="44"/>
        </w:rPr>
        <w:t xml:space="preserve"> </w:t>
      </w:r>
      <w:r w:rsidR="008D2566" w:rsidRPr="00650486">
        <w:rPr>
          <w:szCs w:val="44"/>
        </w:rPr>
        <w:t>“</w:t>
      </w:r>
      <w:r w:rsidR="008D2566" w:rsidRPr="00650486">
        <w:rPr>
          <w:szCs w:val="44"/>
          <w:lang w:val="sr-Latn-RS"/>
        </w:rPr>
        <w:t>bez servera</w:t>
      </w:r>
      <w:r w:rsidR="008D2566" w:rsidRPr="00650486">
        <w:rPr>
          <w:szCs w:val="44"/>
        </w:rPr>
        <w:t xml:space="preserve">” </w:t>
      </w:r>
      <w:r w:rsidR="008D2566" w:rsidRPr="00650486">
        <w:rPr>
          <w:szCs w:val="44"/>
          <w:lang w:val="sr-Latn-RS"/>
        </w:rPr>
        <w:t>na platformi Microsoft Azur</w:t>
      </w:r>
      <w:r w:rsidRPr="00650486">
        <w:rPr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C94764">
      <w:pPr>
        <w:pStyle w:val="Tekst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lang w:val="sr-Latn-RS"/>
        </w:rPr>
        <w:t>Miloš Milovanović</w:t>
      </w:r>
      <w:r w:rsidR="00945ACD">
        <w:tab/>
      </w:r>
      <w:r w:rsidR="00945ACD">
        <w:tab/>
      </w:r>
      <w:r w:rsidR="00945ACD">
        <w:tab/>
      </w:r>
      <w:r w:rsidR="00945ACD">
        <w:tab/>
      </w:r>
      <w:r>
        <w:t xml:space="preserve">dr Vladimir Filipović </w:t>
      </w:r>
      <w:r w:rsidR="0084608F">
        <w:br/>
      </w:r>
      <w:r w:rsidR="00815DDA">
        <w:t>Beograd, 202</w:t>
      </w:r>
      <w:r w:rsidR="00A03CF2"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1D6435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71561453" w:history="1">
            <w:r w:rsidR="001D6435" w:rsidRPr="00543DD5">
              <w:rPr>
                <w:rStyle w:val="Hyperlink"/>
                <w:noProof/>
              </w:rPr>
              <w:t>1 Uvod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4" w:history="1">
            <w:r w:rsidR="001D6435" w:rsidRPr="00543DD5">
              <w:rPr>
                <w:rStyle w:val="Hyperlink"/>
                <w:noProof/>
              </w:rPr>
              <w:t>2 Nastanak računarstva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5" w:history="1">
            <w:r w:rsidR="001D6435" w:rsidRPr="00543DD5">
              <w:rPr>
                <w:rStyle w:val="Hyperlink"/>
                <w:noProof/>
              </w:rPr>
              <w:t>2.1 Monolitne i slojevite arhitekture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6" w:history="1">
            <w:r w:rsidR="001D6435" w:rsidRPr="00543DD5">
              <w:rPr>
                <w:rStyle w:val="Hyperlink"/>
                <w:noProof/>
              </w:rPr>
              <w:t>2.2 Mikroservisna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7" w:history="1">
            <w:r w:rsidR="001D6435" w:rsidRPr="00543DD5">
              <w:rPr>
                <w:rStyle w:val="Hyperlink"/>
                <w:noProof/>
              </w:rPr>
              <w:t>2.3 Virtuelizacija zasnovana na kontejnerima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8" w:history="1">
            <w:r w:rsidR="001D6435" w:rsidRPr="00543DD5">
              <w:rPr>
                <w:rStyle w:val="Hyperlink"/>
                <w:noProof/>
              </w:rPr>
              <w:t>2.4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 u oblaku, modeli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9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9" w:history="1">
            <w:r w:rsidR="001D6435" w:rsidRPr="00543DD5">
              <w:rPr>
                <w:rStyle w:val="Hyperlink"/>
                <w:noProof/>
              </w:rPr>
              <w:t>2.5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</w:t>
            </w:r>
            <w:r w:rsidR="001D6435" w:rsidRPr="00543DD5">
              <w:rPr>
                <w:rStyle w:val="Hyperlink"/>
                <w:noProof/>
              </w:rPr>
              <w:t xml:space="preserve">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0" w:history="1">
            <w:r w:rsidR="001D6435" w:rsidRPr="00543DD5">
              <w:rPr>
                <w:rStyle w:val="Hyperlink"/>
                <w:noProof/>
              </w:rPr>
              <w:t>2.5.1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11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1" w:history="1">
            <w:r w:rsidR="001D6435" w:rsidRPr="00543DD5">
              <w:rPr>
                <w:rStyle w:val="Hyperlink"/>
                <w:noProof/>
              </w:rPr>
              <w:t>2.5.2 Osobine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12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2" w:history="1">
            <w:r w:rsidR="001D6435" w:rsidRPr="00543DD5">
              <w:rPr>
                <w:rStyle w:val="Hyperlink"/>
                <w:noProof/>
              </w:rPr>
              <w:t>2.5.3 Prednosti i nedostaci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3" w:history="1">
            <w:r w:rsidR="001D6435" w:rsidRPr="00543DD5">
              <w:rPr>
                <w:rStyle w:val="Hyperlink"/>
                <w:noProof/>
              </w:rPr>
              <w:t>3 Platforme i razvojni okviri zasnovani na modelu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4" w:history="1">
            <w:r w:rsidR="001D6435" w:rsidRPr="00543DD5">
              <w:rPr>
                <w:rStyle w:val="Hyperlink"/>
                <w:noProof/>
              </w:rPr>
              <w:t>3.1 Azure Functions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5" w:history="1">
            <w:r w:rsidR="001D6435" w:rsidRPr="00543DD5">
              <w:rPr>
                <w:rStyle w:val="Hyperlink"/>
                <w:noProof/>
              </w:rPr>
              <w:t>3.1.1 Izvr</w:t>
            </w:r>
            <w:r w:rsidR="001D6435" w:rsidRPr="00543DD5">
              <w:rPr>
                <w:rStyle w:val="Hyperlink"/>
                <w:noProof/>
                <w:lang w:val="sr-Latn-RS"/>
              </w:rPr>
              <w:t>šno okruženje i planovi korišćenja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6" w:history="1">
            <w:r w:rsidR="001D6435" w:rsidRPr="00543DD5">
              <w:rPr>
                <w:rStyle w:val="Hyperlink"/>
                <w:noProof/>
              </w:rPr>
              <w:t>3.1.2 Funkcije i aplikacije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15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7" w:history="1">
            <w:r w:rsidR="001D6435" w:rsidRPr="00543DD5">
              <w:rPr>
                <w:rStyle w:val="Hyperlink"/>
                <w:noProof/>
              </w:rPr>
              <w:t>3.1.3 Lokalni razvoj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8" w:history="1">
            <w:r w:rsidR="001D6435" w:rsidRPr="00543DD5">
              <w:rPr>
                <w:rStyle w:val="Hyperlink"/>
                <w:noProof/>
              </w:rPr>
              <w:t>3.1.4 Okidači i vezivanja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9" w:history="1">
            <w:r w:rsidR="001D6435" w:rsidRPr="00543DD5">
              <w:rPr>
                <w:rStyle w:val="Hyperlink"/>
                <w:noProof/>
              </w:rPr>
              <w:t>3.1.5 Postavljanje na Azure platformu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0" w:history="1">
            <w:r w:rsidR="001D6435" w:rsidRPr="00543DD5">
              <w:rPr>
                <w:rStyle w:val="Hyperlink"/>
                <w:noProof/>
                <w:lang w:val="sr-Latn-RS"/>
              </w:rPr>
              <w:t>3.2 Ostali servisi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1" w:history="1">
            <w:r w:rsidR="001D6435" w:rsidRPr="00543DD5">
              <w:rPr>
                <w:rStyle w:val="Hyperlink"/>
                <w:noProof/>
              </w:rPr>
              <w:t>4 Razvoj REST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2" w:history="1">
            <w:r w:rsidR="001D6435" w:rsidRPr="00543DD5">
              <w:rPr>
                <w:rStyle w:val="Hyperlink"/>
                <w:noProof/>
              </w:rPr>
              <w:t>4.1 Funkcionalni opis i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3" w:history="1">
            <w:r w:rsidR="001D6435" w:rsidRPr="00543DD5">
              <w:rPr>
                <w:rStyle w:val="Hyperlink"/>
                <w:noProof/>
              </w:rPr>
              <w:t>4.2 Implementacija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4" w:history="1">
            <w:r w:rsidR="001D6435" w:rsidRPr="00543DD5">
              <w:rPr>
                <w:rStyle w:val="Hyperlink"/>
                <w:noProof/>
              </w:rPr>
              <w:t>4.2.1 Struktura projekta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5" w:history="1">
            <w:r w:rsidR="001D6435" w:rsidRPr="00543DD5">
              <w:rPr>
                <w:rStyle w:val="Hyperlink"/>
                <w:noProof/>
              </w:rPr>
              <w:t>4.2.2 Baza podataka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6" w:history="1">
            <w:r w:rsidR="001D6435" w:rsidRPr="00543DD5">
              <w:rPr>
                <w:rStyle w:val="Hyperlink"/>
                <w:noProof/>
              </w:rPr>
              <w:t>4.2.3 API resursi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7" w:history="1">
            <w:r w:rsidR="001D6435" w:rsidRPr="00543DD5">
              <w:rPr>
                <w:rStyle w:val="Hyperlink"/>
                <w:noProof/>
              </w:rPr>
              <w:t>4.2.4 Implementacija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8" w:history="1">
            <w:r w:rsidR="001D6435" w:rsidRPr="00543DD5">
              <w:rPr>
                <w:rStyle w:val="Hyperlink"/>
                <w:noProof/>
              </w:rPr>
              <w:t>5 Gradjenje, hostovanje i testiranje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9" w:history="1">
            <w:r w:rsidR="001D6435" w:rsidRPr="00543DD5">
              <w:rPr>
                <w:rStyle w:val="Hyperlink"/>
                <w:noProof/>
              </w:rPr>
              <w:t>5.1 Resursi na platformi u oblaku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0" w:history="1">
            <w:r w:rsidR="001D6435" w:rsidRPr="00543DD5">
              <w:rPr>
                <w:rStyle w:val="Hyperlink"/>
                <w:noProof/>
              </w:rPr>
              <w:t>5.2 Kontinualna integracija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1" w:history="1">
            <w:r w:rsidR="001D6435" w:rsidRPr="00543DD5">
              <w:rPr>
                <w:rStyle w:val="Hyperlink"/>
                <w:noProof/>
              </w:rPr>
              <w:t>5.3 Nadgledanje i održavanje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2" w:history="1">
            <w:r w:rsidR="001D6435" w:rsidRPr="00543DD5">
              <w:rPr>
                <w:rStyle w:val="Hyperlink"/>
                <w:noProof/>
              </w:rPr>
              <w:t>5.4 Testiranje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A91F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3" w:history="1">
            <w:r w:rsidR="001D6435" w:rsidRPr="00543DD5">
              <w:rPr>
                <w:rStyle w:val="Hyperlink"/>
                <w:noProof/>
              </w:rPr>
              <w:t>6 Zaključak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0" w:name="_Toc71561453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94764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94764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C94764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94764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94764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94764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94764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C94764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71561454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Default="001B5A70" w:rsidP="00C94764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2" w:name="_Toc71561455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2"/>
    </w:p>
    <w:p w:rsidR="00A63298" w:rsidRDefault="00DF258C" w:rsidP="00C94764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C94764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3" w:name="_Toc71561456"/>
      <w:r>
        <w:lastRenderedPageBreak/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3"/>
    </w:p>
    <w:p w:rsidR="00C12E83" w:rsidRDefault="00503EF2" w:rsidP="00C94764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C94764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C94764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C94764">
      <w:pPr>
        <w:pStyle w:val="Tekst"/>
        <w:rPr>
          <w:lang w:val="sr-Latn-RS"/>
        </w:rPr>
      </w:pPr>
    </w:p>
    <w:p w:rsidR="005C7317" w:rsidRDefault="00C65CEC" w:rsidP="00C94764">
      <w:pPr>
        <w:pStyle w:val="Teks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4" w:name="_Toc71561457"/>
      <w:r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4"/>
    </w:p>
    <w:p w:rsidR="00CE6CB8" w:rsidRDefault="007A7F64" w:rsidP="00C94764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C94764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C94764">
      <w:pPr>
        <w:pStyle w:val="Tekst"/>
        <w:rPr>
          <w:lang w:val="sr-Latn-RS"/>
        </w:rPr>
      </w:pPr>
    </w:p>
    <w:p w:rsidR="00CD153D" w:rsidRDefault="00416901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C94764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5" w:name="_Toc71561458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5"/>
    </w:p>
    <w:p w:rsidR="008C7E1C" w:rsidRDefault="008C7E1C" w:rsidP="00C94764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C94764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</w:t>
      </w:r>
      <w:r w:rsidR="0027174F">
        <w:rPr>
          <w:lang w:val="sr-Latn-RS"/>
        </w:rPr>
        <w:lastRenderedPageBreak/>
        <w:t xml:space="preserve">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6129926" cy="1859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C94764">
      <w:pPr>
        <w:pStyle w:val="Naslov2"/>
      </w:pPr>
      <w:bookmarkStart w:id="6" w:name="_Toc71561459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6"/>
    </w:p>
    <w:p w:rsidR="00C40991" w:rsidRDefault="00546024" w:rsidP="00C94764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C94764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F2506A">
      <w:pPr>
        <w:pStyle w:val="Naslov3"/>
      </w:pPr>
      <w:bookmarkStart w:id="7" w:name="_Toc71561460"/>
      <w:r>
        <w:lastRenderedPageBreak/>
        <w:t>2.5.1 Funkcija kao servis</w:t>
      </w:r>
      <w:bookmarkEnd w:id="7"/>
    </w:p>
    <w:p w:rsidR="00C233C0" w:rsidRDefault="00F51C9A" w:rsidP="00C94764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C94764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C94764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C94764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C94764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</w:t>
      </w:r>
      <w:r w:rsidR="00FE4EDB">
        <w:lastRenderedPageBreak/>
        <w:t>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C94764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F2506A">
      <w:pPr>
        <w:pStyle w:val="Naslov3"/>
      </w:pPr>
      <w:bookmarkStart w:id="8" w:name="_Toc71561461"/>
      <w:r>
        <w:t>2.5.2 Osobine</w:t>
      </w:r>
      <w:bookmarkEnd w:id="8"/>
    </w:p>
    <w:p w:rsidR="00AD1FC8" w:rsidRDefault="00D066E3" w:rsidP="00C94764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platformi</w:t>
      </w:r>
      <w:r w:rsidR="00B83ED9">
        <w:rPr>
          <w:lang w:val="sr-Latn-RS"/>
        </w:rPr>
        <w:t xml:space="preserve"> različitih</w:t>
      </w:r>
      <w:r w:rsidR="00B532F7">
        <w:rPr>
          <w:lang w:val="sr-Latn-RS"/>
        </w:rPr>
        <w:t xml:space="preserve"> isporučioca i</w:t>
      </w:r>
      <w:r>
        <w:rPr>
          <w:lang w:val="sr-Latn-RS"/>
        </w:rPr>
        <w:t xml:space="preserve"> bolji uvid prilikom izbora i korišćenja odovarajuće platforme.</w:t>
      </w:r>
    </w:p>
    <w:p w:rsidR="00166152" w:rsidRPr="00166152" w:rsidRDefault="00166152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</w:t>
      </w:r>
      <w:r w:rsidR="006B6F73">
        <w:rPr>
          <w:lang w:val="sr-Latn-RS"/>
        </w:rPr>
        <w:lastRenderedPageBreak/>
        <w:t xml:space="preserve">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7D1656" w:rsidP="00F2506A">
      <w:pPr>
        <w:pStyle w:val="Naslov3"/>
      </w:pPr>
      <w:bookmarkStart w:id="9" w:name="_Toc71561462"/>
      <w:r>
        <w:t>2.5.3 Prednosti i nedostaci</w:t>
      </w:r>
      <w:bookmarkEnd w:id="9"/>
    </w:p>
    <w:p w:rsidR="00265791" w:rsidRDefault="00A91F01" w:rsidP="00C94764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</w:t>
      </w:r>
      <w:r w:rsidR="00265791">
        <w:rPr>
          <w:lang w:val="sr-Latn-RS"/>
        </w:rPr>
        <w:t xml:space="preserve">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 xml:space="preserve">uštede prilikom naplate servisa. Najbolji primeri su aplikacije kod kojih </w:t>
      </w:r>
      <w:r w:rsidR="00265791">
        <w:rPr>
          <w:lang w:val="sr-Latn-RS"/>
        </w:rPr>
        <w:lastRenderedPageBreak/>
        <w:t>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265791">
        <w:rPr>
          <w:lang w:val="sr-Latn-RS"/>
        </w:rPr>
        <w:t xml:space="preserve">Kod razvoja kompletno novih aplikacija, razvijaoc se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64166C" w:rsidRDefault="000C7C83" w:rsidP="00C94764">
      <w:pPr>
        <w:pStyle w:val="Tekst"/>
        <w:rPr>
          <w:position w:val="8"/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</w:t>
      </w:r>
      <w:r w:rsidR="00A45F05">
        <w:rPr>
          <w:lang w:val="sr-Latn-RS"/>
        </w:rPr>
        <w:t>Generalno, aplikacije na ovom modelu su manje prenosive u odnosu na standardne virtualne mašine ili kontejnere.</w:t>
      </w:r>
      <w:r w:rsidR="00A45F05">
        <w:rPr>
          <w:lang w:val="sr-Latn-RS"/>
        </w:rPr>
        <w:t xml:space="preserve"> Događaji koji prouzrokuju pokretanje funkcija mogu se bazirati na drugim servisima platforme u oblaku, što može dovesti do veće zavisnosti razvijaoca od konkretnog isporučioca platforme.</w:t>
      </w:r>
      <w:r w:rsidR="0064166C">
        <w:rPr>
          <w:lang w:val="sr-Latn-RS"/>
        </w:rPr>
        <w:br w:type="page"/>
      </w:r>
    </w:p>
    <w:p w:rsidR="00772D7D" w:rsidRPr="00772D7D" w:rsidRDefault="00E03497" w:rsidP="005C15BB">
      <w:pPr>
        <w:pStyle w:val="Naslov1"/>
      </w:pPr>
      <w:bookmarkStart w:id="10" w:name="_Toc71561463"/>
      <w:r>
        <w:rPr>
          <w:rFonts w:hint="eastAsia"/>
        </w:rPr>
        <w:lastRenderedPageBreak/>
        <w:t xml:space="preserve">3 </w:t>
      </w:r>
      <w:bookmarkEnd w:id="10"/>
      <w:r w:rsidR="00875AFA">
        <w:t>Funkcija kao servis platforme</w:t>
      </w:r>
    </w:p>
    <w:p w:rsidR="004B38B2" w:rsidRDefault="004B38B2" w:rsidP="00C94764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1" w:name="_Toc71561464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1"/>
    </w:p>
    <w:p w:rsidR="001C6CCF" w:rsidRPr="001C6CCF" w:rsidRDefault="001C6CCF" w:rsidP="00C94764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F2506A">
      <w:pPr>
        <w:pStyle w:val="Naslov3"/>
        <w:rPr>
          <w:lang w:val="sr-Latn-RS"/>
        </w:rPr>
      </w:pPr>
      <w:bookmarkStart w:id="12" w:name="_Toc71561465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2"/>
    </w:p>
    <w:p w:rsidR="004B0741" w:rsidRDefault="001C6CCF" w:rsidP="00C94764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9A2AEB" w:rsidRDefault="009A2AEB" w:rsidP="00C94764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C94764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F2506A">
      <w:pPr>
        <w:pStyle w:val="Naslov3"/>
      </w:pPr>
      <w:bookmarkStart w:id="13" w:name="_Toc71561466"/>
      <w:r>
        <w:t>3.1</w:t>
      </w:r>
      <w:r w:rsidR="00E03497">
        <w:t xml:space="preserve">.2 </w:t>
      </w:r>
      <w:r w:rsidR="00CA3A1D">
        <w:t>Funkcije i aplikacije funkcija</w:t>
      </w:r>
      <w:bookmarkEnd w:id="13"/>
    </w:p>
    <w:p w:rsidR="000375EF" w:rsidRDefault="00C14AA3" w:rsidP="00C94764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 xml:space="preserve">. U ovoj datoteci definisan je okidač, sva vezivanja </w:t>
      </w:r>
      <w:r w:rsidR="00966A9A">
        <w:lastRenderedPageBreak/>
        <w:t>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DB1AA5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4" w:name="_MON_1660652700"/>
    <w:bookmarkEnd w:id="14"/>
    <w:p w:rsidR="00F2328A" w:rsidRDefault="00C103E0" w:rsidP="00C94764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4" o:title=""/>
          </v:shape>
          <o:OLEObject Type="Embed" ProgID="Word.OpenDocumentText.12" ShapeID="_x0000_i1025" DrawAspect="Content" ObjectID="_1682702524" r:id="rId15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C94764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F2506A">
      <w:pPr>
        <w:pStyle w:val="Naslov3"/>
      </w:pPr>
      <w:bookmarkStart w:id="15" w:name="_Toc71561467"/>
      <w:r>
        <w:t>3.1.3 Lokalni razvoj</w:t>
      </w:r>
      <w:bookmarkEnd w:id="15"/>
    </w:p>
    <w:p w:rsidR="00E4431E" w:rsidRDefault="002401A7" w:rsidP="00C94764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</w:t>
      </w:r>
      <w:r w:rsidR="00D712A5">
        <w:rPr>
          <w:lang w:val="sr-Latn-RS"/>
        </w:rPr>
        <w:lastRenderedPageBreak/>
        <w:t>za pisanje koda samih funkcija i druga okruženja koja olakšavaju rad u izabranom jeziku.</w:t>
      </w:r>
    </w:p>
    <w:p w:rsidR="00C80B3F" w:rsidRDefault="00D712A5" w:rsidP="00C94764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6" w:name="_MON_1660751122"/>
    <w:bookmarkEnd w:id="16"/>
    <w:p w:rsidR="00C80B3F" w:rsidRDefault="00C80B3F" w:rsidP="00C94764">
      <w:pPr>
        <w:pStyle w:val="Tekst"/>
      </w:pPr>
      <w:r>
        <w:rPr>
          <w:lang w:val="sr-Latn-RS"/>
        </w:rPr>
        <w:object w:dxaOrig="9360" w:dyaOrig="400">
          <v:shape id="_x0000_i1298" type="#_x0000_t75" style="width:468pt;height:19.8pt" o:ole="">
            <v:imagedata r:id="rId16" o:title=""/>
          </v:shape>
          <o:OLEObject Type="Embed" ProgID="Word.OpenDocumentText.12" ShapeID="_x0000_i1298" DrawAspect="Content" ObjectID="_1682702525" r:id="rId17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C94764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7" w:name="_MON_1660649118"/>
    <w:bookmarkEnd w:id="17"/>
    <w:p w:rsidR="00F37E2E" w:rsidRDefault="00F37E2E" w:rsidP="00C94764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8" o:title=""/>
          </v:shape>
          <o:OLEObject Type="Embed" ProgID="Word.OpenDocumentText.12" ShapeID="_x0000_i1027" DrawAspect="Content" ObjectID="_1682702526" r:id="rId19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C94764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20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8" w:name="_MON_1660753959"/>
    <w:bookmarkEnd w:id="18"/>
    <w:p w:rsidR="00E103C7" w:rsidRDefault="00E103C7" w:rsidP="00C94764">
      <w:pPr>
        <w:pStyle w:val="Tekst"/>
      </w:pPr>
      <w:r>
        <w:object w:dxaOrig="9360" w:dyaOrig="400">
          <v:shape id="_x0000_i1028" type="#_x0000_t75" style="width:468pt;height:19.8pt" o:ole="">
            <v:imagedata r:id="rId21" o:title=""/>
          </v:shape>
          <o:OLEObject Type="Embed" ProgID="Word.OpenDocumentText.12" ShapeID="_x0000_i1028" DrawAspect="Content" ObjectID="_1682702527" r:id="rId22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C94764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19" w:name="_MON_1660649593"/>
    <w:bookmarkEnd w:id="19"/>
    <w:p w:rsidR="00334B1E" w:rsidRDefault="00F37E2E" w:rsidP="00C94764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3" o:title=""/>
          </v:shape>
          <o:OLEObject Type="Embed" ProgID="Word.OpenDocumentText.12" ShapeID="_x0000_i1029" DrawAspect="Content" ObjectID="_1682702528" r:id="rId24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F2506A">
      <w:pPr>
        <w:pStyle w:val="Naslov3"/>
      </w:pPr>
      <w:bookmarkStart w:id="20" w:name="_Toc71561468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0"/>
    </w:p>
    <w:p w:rsidR="00B47202" w:rsidRPr="00F2506A" w:rsidRDefault="00933462" w:rsidP="00F2506A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C94764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C94764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 xml:space="preserve">oruka se zatim formatira i </w:t>
      </w:r>
      <w:r w:rsidR="00C034F3">
        <w:rPr>
          <w:lang w:val="sr-Latn-RS"/>
        </w:rPr>
        <w:lastRenderedPageBreak/>
        <w:t>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1" w:name="_MON_1661087029"/>
    <w:bookmarkEnd w:id="21"/>
    <w:p w:rsidR="0080253E" w:rsidRDefault="0080253E" w:rsidP="00C94764">
      <w:pPr>
        <w:pStyle w:val="Tekst"/>
      </w:pPr>
      <w:r>
        <w:object w:dxaOrig="9360" w:dyaOrig="3337">
          <v:shape id="_x0000_i1030" type="#_x0000_t75" style="width:468pt;height:166.8pt" o:ole="">
            <v:imagedata r:id="rId25" o:title=""/>
          </v:shape>
          <o:OLEObject Type="Embed" ProgID="Word.OpenDocumentText.12" ShapeID="_x0000_i1030" DrawAspect="Content" ObjectID="_1682702529" r:id="rId26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2" w:name="_MON_1661088204"/>
    <w:bookmarkEnd w:id="22"/>
    <w:p w:rsidR="004215C9" w:rsidRDefault="00BB3DA2" w:rsidP="00C94764">
      <w:pPr>
        <w:pStyle w:val="Tekst"/>
      </w:pPr>
      <w:r>
        <w:object w:dxaOrig="9360" w:dyaOrig="4850">
          <v:shape id="_x0000_i1031" type="#_x0000_t75" style="width:468pt;height:242.4pt" o:ole="">
            <v:imagedata r:id="rId27" o:title=""/>
          </v:shape>
          <o:OLEObject Type="Embed" ProgID="Word.OpenDocumentText.12" ShapeID="_x0000_i1031" DrawAspect="Content" ObjectID="_1682702530" r:id="rId28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656951" w:rsidRDefault="00656951" w:rsidP="00F2506A">
      <w:pPr>
        <w:pStyle w:val="Naslov3"/>
      </w:pPr>
      <w:bookmarkStart w:id="23" w:name="_Toc71561469"/>
      <w:r>
        <w:t>3.1.5</w:t>
      </w:r>
      <w:r w:rsidR="00E03497">
        <w:t xml:space="preserve"> </w:t>
      </w:r>
      <w:r>
        <w:t>Postavljanje na Azure platformu</w:t>
      </w:r>
      <w:bookmarkEnd w:id="23"/>
    </w:p>
    <w:p w:rsidR="00185C0D" w:rsidRDefault="00185C0D" w:rsidP="00C94764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</w:t>
      </w:r>
      <w:r w:rsidR="00890900">
        <w:lastRenderedPageBreak/>
        <w:t xml:space="preserve">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4" w:name="_MON_1661256869"/>
    <w:bookmarkEnd w:id="24"/>
    <w:p w:rsidR="00185C0D" w:rsidRDefault="00EF0568" w:rsidP="00DB1AA5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9" o:title=""/>
          </v:shape>
          <o:OLEObject Type="Embed" ProgID="Word.OpenDocumentText.12" ShapeID="_x0000_i1032" DrawAspect="Content" ObjectID="_1682702531" r:id="rId30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C94764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C94764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C94764">
      <w:pPr>
        <w:pStyle w:val="Tekst"/>
        <w:rPr>
          <w:lang w:val="sr-Latn-RS"/>
        </w:rPr>
      </w:pPr>
      <w:r>
        <w:rPr>
          <w:lang w:val="sr-Latn-RS"/>
        </w:rPr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5" w:name="_MON_1661269666"/>
    <w:bookmarkEnd w:id="25"/>
    <w:p w:rsidR="00DF1270" w:rsidRDefault="00123931" w:rsidP="00C94764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1" o:title=""/>
          </v:shape>
          <o:OLEObject Type="Embed" ProgID="Word.OpenDocumentText.12" ShapeID="_x0000_i1033" DrawAspect="Content" ObjectID="_1682702532" r:id="rId32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  <w:bookmarkStart w:id="26" w:name="_Toc71561470"/>
    </w:p>
    <w:p w:rsidR="005C15BB" w:rsidRDefault="005C15BB" w:rsidP="007860F0">
      <w:pPr>
        <w:pStyle w:val="Naslov2"/>
        <w:rPr>
          <w:lang w:val="sr-Latn-RS"/>
        </w:rPr>
      </w:pPr>
      <w:r>
        <w:rPr>
          <w:lang w:val="sr-Latn-RS"/>
        </w:rPr>
        <w:t xml:space="preserve">3.2 </w:t>
      </w:r>
      <w:bookmarkEnd w:id="26"/>
      <w:r w:rsidR="007860F0">
        <w:rPr>
          <w:lang w:val="sr-Latn-RS"/>
        </w:rPr>
        <w:t>Druge platforme</w:t>
      </w:r>
    </w:p>
    <w:p w:rsidR="007860F0" w:rsidRPr="007860F0" w:rsidRDefault="007860F0" w:rsidP="00C94764">
      <w:pPr>
        <w:pStyle w:val="Tekst"/>
        <w:rPr>
          <w:lang w:val="sr-Latn-RS"/>
        </w:rPr>
      </w:pPr>
      <w:r>
        <w:rPr>
          <w:lang w:val="sr-Latn-RS"/>
        </w:rPr>
        <w:t>Test</w:t>
      </w:r>
    </w:p>
    <w:p w:rsidR="00816EE7" w:rsidRDefault="00816EE7" w:rsidP="00816EE7">
      <w:pPr>
        <w:pStyle w:val="Naslov1"/>
      </w:pPr>
      <w:bookmarkStart w:id="27" w:name="_Toc40034695"/>
      <w:bookmarkStart w:id="28" w:name="_Toc71561471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7"/>
      <w:bookmarkEnd w:id="28"/>
    </w:p>
    <w:p w:rsidR="00816EE7" w:rsidRDefault="00816EE7" w:rsidP="00816EE7">
      <w:pPr>
        <w:pStyle w:val="Naslov2"/>
      </w:pPr>
      <w:bookmarkStart w:id="29" w:name="_Toc71561472"/>
      <w:bookmarkStart w:id="30" w:name="_Toc40034696"/>
      <w:r>
        <w:rPr>
          <w:rFonts w:hint="eastAsia"/>
        </w:rPr>
        <w:t xml:space="preserve">4.1 Funkcionalni opis </w:t>
      </w:r>
      <w:r>
        <w:t>i arhitektura</w:t>
      </w:r>
      <w:bookmarkEnd w:id="29"/>
      <w:r>
        <w:t xml:space="preserve"> </w:t>
      </w:r>
      <w:bookmarkEnd w:id="30"/>
    </w:p>
    <w:p w:rsidR="00816EE7" w:rsidRDefault="00816EE7" w:rsidP="00816EE7">
      <w:pPr>
        <w:pStyle w:val="Naslov2"/>
      </w:pPr>
      <w:bookmarkStart w:id="31" w:name="_Toc40034697"/>
      <w:bookmarkStart w:id="32" w:name="_Toc71561473"/>
      <w:r>
        <w:rPr>
          <w:rFonts w:hint="eastAsia"/>
        </w:rPr>
        <w:t xml:space="preserve">4.2 </w:t>
      </w:r>
      <w:bookmarkEnd w:id="31"/>
      <w:r>
        <w:t>Implementacija servisa</w:t>
      </w:r>
      <w:bookmarkStart w:id="33" w:name="_GoBack"/>
      <w:bookmarkEnd w:id="32"/>
      <w:bookmarkEnd w:id="33"/>
    </w:p>
    <w:p w:rsidR="00816EE7" w:rsidRDefault="00816EE7" w:rsidP="00F2506A">
      <w:pPr>
        <w:pStyle w:val="Naslov3"/>
      </w:pPr>
      <w:bookmarkStart w:id="34" w:name="_Toc71561474"/>
      <w:r>
        <w:t>4.2.1 Struktura projekta</w:t>
      </w:r>
      <w:bookmarkEnd w:id="34"/>
    </w:p>
    <w:p w:rsidR="00816EE7" w:rsidRDefault="00816EE7" w:rsidP="00F2506A">
      <w:pPr>
        <w:pStyle w:val="Naslov3"/>
      </w:pPr>
      <w:bookmarkStart w:id="35" w:name="_Toc71561475"/>
      <w:r>
        <w:t>4.2.2 Baza podataka</w:t>
      </w:r>
      <w:bookmarkEnd w:id="35"/>
    </w:p>
    <w:p w:rsidR="00816EE7" w:rsidRDefault="00816EE7" w:rsidP="00F2506A">
      <w:pPr>
        <w:pStyle w:val="Naslov3"/>
      </w:pPr>
      <w:bookmarkStart w:id="36" w:name="_Toc71561476"/>
      <w:r>
        <w:t xml:space="preserve">4.2.3 API </w:t>
      </w:r>
      <w:r w:rsidR="00CB5B8B">
        <w:t>r</w:t>
      </w:r>
      <w:r>
        <w:t>esursi</w:t>
      </w:r>
      <w:bookmarkEnd w:id="36"/>
    </w:p>
    <w:p w:rsidR="00816EE7" w:rsidRPr="00816EE7" w:rsidRDefault="00816EE7" w:rsidP="00F2506A">
      <w:pPr>
        <w:pStyle w:val="Naslov3"/>
      </w:pPr>
      <w:bookmarkStart w:id="37" w:name="_Toc71561477"/>
      <w:r>
        <w:t>4.2.4 Impl</w:t>
      </w:r>
      <w:r w:rsidR="005801F5">
        <w:t>e</w:t>
      </w:r>
      <w:r>
        <w:t>mentacija funkcija</w:t>
      </w:r>
      <w:bookmarkEnd w:id="37"/>
    </w:p>
    <w:p w:rsidR="00816EE7" w:rsidRDefault="00816EE7" w:rsidP="00816EE7">
      <w:pPr>
        <w:pStyle w:val="Naslov1"/>
      </w:pPr>
      <w:bookmarkStart w:id="38" w:name="_Toc40034699"/>
      <w:bookmarkStart w:id="39" w:name="_Toc71561478"/>
      <w:r>
        <w:rPr>
          <w:rFonts w:hint="eastAsia"/>
        </w:rPr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8"/>
      <w:bookmarkEnd w:id="39"/>
    </w:p>
    <w:p w:rsidR="00A15DDB" w:rsidRPr="00A15DDB" w:rsidRDefault="00816EE7" w:rsidP="00A15DDB">
      <w:pPr>
        <w:pStyle w:val="Naslov2"/>
      </w:pPr>
      <w:bookmarkStart w:id="40" w:name="_Toc40034700"/>
      <w:bookmarkStart w:id="41" w:name="_Toc71561479"/>
      <w:r>
        <w:rPr>
          <w:rFonts w:hint="eastAsia"/>
        </w:rPr>
        <w:t xml:space="preserve">5.1 </w:t>
      </w:r>
      <w:bookmarkEnd w:id="40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1"/>
    </w:p>
    <w:p w:rsidR="00816EE7" w:rsidRDefault="00816EE7" w:rsidP="00816EE7">
      <w:pPr>
        <w:pStyle w:val="Naslov2"/>
      </w:pPr>
      <w:bookmarkStart w:id="42" w:name="_Toc40034701"/>
      <w:bookmarkStart w:id="43" w:name="_Toc71561480"/>
      <w:r>
        <w:rPr>
          <w:rFonts w:hint="eastAsia"/>
        </w:rPr>
        <w:t xml:space="preserve">5.2 </w:t>
      </w:r>
      <w:bookmarkEnd w:id="42"/>
      <w:r w:rsidR="00A15DDB">
        <w:t>K</w:t>
      </w:r>
      <w:r w:rsidR="00812851">
        <w:t xml:space="preserve">ontinualna </w:t>
      </w:r>
      <w:r w:rsidR="00A15DDB">
        <w:t>integracija</w:t>
      </w:r>
      <w:bookmarkEnd w:id="43"/>
    </w:p>
    <w:p w:rsidR="00A15DDB" w:rsidRDefault="00A15DDB" w:rsidP="00A15DDB">
      <w:pPr>
        <w:pStyle w:val="Naslov2"/>
      </w:pPr>
      <w:bookmarkStart w:id="44" w:name="_Toc71561481"/>
      <w:r>
        <w:t>5.3 Nadgledanje i održavanje</w:t>
      </w:r>
      <w:bookmarkEnd w:id="44"/>
    </w:p>
    <w:p w:rsidR="00A15DDB" w:rsidRPr="00A15DDB" w:rsidRDefault="00A15DDB" w:rsidP="00A15DDB">
      <w:pPr>
        <w:pStyle w:val="Naslov2"/>
      </w:pPr>
      <w:bookmarkStart w:id="45" w:name="_Toc71561482"/>
      <w:r>
        <w:t>5.4 Testiranje</w:t>
      </w:r>
      <w:bookmarkEnd w:id="45"/>
    </w:p>
    <w:p w:rsidR="00D0163D" w:rsidRDefault="00E03497" w:rsidP="00FD58DA">
      <w:pPr>
        <w:pStyle w:val="Naslov1"/>
      </w:pPr>
      <w:bookmarkStart w:id="46" w:name="_Toc71561483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6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51F" w:rsidRDefault="00CB351F" w:rsidP="00E8653D">
      <w:pPr>
        <w:rPr>
          <w:rFonts w:hint="eastAsia"/>
        </w:rPr>
      </w:pPr>
      <w:r>
        <w:separator/>
      </w:r>
    </w:p>
  </w:endnote>
  <w:endnote w:type="continuationSeparator" w:id="0">
    <w:p w:rsidR="00CB351F" w:rsidRDefault="00CB351F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1F01" w:rsidRDefault="00A91F01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AA5">
          <w:rPr>
            <w:rFonts w:hint="eastAsia"/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A91F01" w:rsidRDefault="00A91F0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51F" w:rsidRDefault="00CB351F" w:rsidP="00E8653D">
      <w:pPr>
        <w:rPr>
          <w:rFonts w:hint="eastAsia"/>
        </w:rPr>
      </w:pPr>
      <w:r>
        <w:separator/>
      </w:r>
    </w:p>
  </w:footnote>
  <w:footnote w:type="continuationSeparator" w:id="0">
    <w:p w:rsidR="00CB351F" w:rsidRDefault="00CB351F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6CCF"/>
    <w:rsid w:val="001D072D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A1D30"/>
    <w:rsid w:val="002A1DC1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300B8A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65D3"/>
    <w:rsid w:val="003B6B5D"/>
    <w:rsid w:val="003B7FED"/>
    <w:rsid w:val="003C45F0"/>
    <w:rsid w:val="003D29F7"/>
    <w:rsid w:val="003D2FC5"/>
    <w:rsid w:val="003E6066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E37"/>
    <w:rsid w:val="00433BC8"/>
    <w:rsid w:val="004434D6"/>
    <w:rsid w:val="004439C8"/>
    <w:rsid w:val="00446304"/>
    <w:rsid w:val="00451749"/>
    <w:rsid w:val="0045175D"/>
    <w:rsid w:val="004520BD"/>
    <w:rsid w:val="004531D4"/>
    <w:rsid w:val="0045347F"/>
    <w:rsid w:val="00455764"/>
    <w:rsid w:val="0047788E"/>
    <w:rsid w:val="00477A2C"/>
    <w:rsid w:val="004979DC"/>
    <w:rsid w:val="004A5BA1"/>
    <w:rsid w:val="004B0741"/>
    <w:rsid w:val="004B38B2"/>
    <w:rsid w:val="004D0766"/>
    <w:rsid w:val="004D2987"/>
    <w:rsid w:val="004E1BB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B0CC6"/>
    <w:rsid w:val="005B48FE"/>
    <w:rsid w:val="005B7601"/>
    <w:rsid w:val="005B7964"/>
    <w:rsid w:val="005C15BB"/>
    <w:rsid w:val="005C7317"/>
    <w:rsid w:val="005D09FC"/>
    <w:rsid w:val="005D1C3C"/>
    <w:rsid w:val="005E1A04"/>
    <w:rsid w:val="005F4B33"/>
    <w:rsid w:val="00602448"/>
    <w:rsid w:val="00607B46"/>
    <w:rsid w:val="006108FD"/>
    <w:rsid w:val="00612AA5"/>
    <w:rsid w:val="00615BA7"/>
    <w:rsid w:val="00616244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74F9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6963"/>
    <w:rsid w:val="007562DD"/>
    <w:rsid w:val="0076013E"/>
    <w:rsid w:val="00761FF5"/>
    <w:rsid w:val="00772B1B"/>
    <w:rsid w:val="00772D7D"/>
    <w:rsid w:val="007826FE"/>
    <w:rsid w:val="007860F0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608F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5414"/>
    <w:rsid w:val="0090716C"/>
    <w:rsid w:val="00917D36"/>
    <w:rsid w:val="00926A5E"/>
    <w:rsid w:val="00933462"/>
    <w:rsid w:val="00942426"/>
    <w:rsid w:val="00942846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3298"/>
    <w:rsid w:val="00A752CA"/>
    <w:rsid w:val="00A7551C"/>
    <w:rsid w:val="00A77174"/>
    <w:rsid w:val="00A81998"/>
    <w:rsid w:val="00A90F89"/>
    <w:rsid w:val="00A91F01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2108B"/>
    <w:rsid w:val="00C233C0"/>
    <w:rsid w:val="00C239ED"/>
    <w:rsid w:val="00C25216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21BE3"/>
    <w:rsid w:val="00D22195"/>
    <w:rsid w:val="00D2319A"/>
    <w:rsid w:val="00D2338B"/>
    <w:rsid w:val="00D27C4B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2172"/>
    <w:rsid w:val="00D80B85"/>
    <w:rsid w:val="00D835CC"/>
    <w:rsid w:val="00D9442E"/>
    <w:rsid w:val="00DB1AA5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4431E"/>
    <w:rsid w:val="00E4473F"/>
    <w:rsid w:val="00E4719B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CC3"/>
    <w:rsid w:val="00FC60D9"/>
    <w:rsid w:val="00FC7DF3"/>
    <w:rsid w:val="00FD1E11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6BF1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C9476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7071/api/httpPrimer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D414D334-1042-4BCD-AF81-6027A1A7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29</Pages>
  <Words>5457</Words>
  <Characters>31109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375</cp:revision>
  <cp:lastPrinted>2021-05-14T15:47:00Z</cp:lastPrinted>
  <dcterms:created xsi:type="dcterms:W3CDTF">2020-05-10T16:44:00Z</dcterms:created>
  <dcterms:modified xsi:type="dcterms:W3CDTF">2021-05-16T18:34:00Z</dcterms:modified>
</cp:coreProperties>
</file>