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lastRenderedPageBreak/>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B8DA17E" w14:textId="3C0E67A3" w:rsidR="00E733BC"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565137" w:history="1">
        <w:r w:rsidR="00E733BC" w:rsidRPr="00A16EF6">
          <w:rPr>
            <w:rStyle w:val="Hyperlink"/>
            <w:noProof/>
            <w:lang w:val="en-US"/>
          </w:rPr>
          <w:t>1</w:t>
        </w:r>
        <w:r w:rsidR="00E733BC">
          <w:rPr>
            <w:rFonts w:asciiTheme="minorHAnsi" w:eastAsiaTheme="minorEastAsia" w:hAnsiTheme="minorHAnsi" w:cstheme="minorBidi"/>
            <w:b w:val="0"/>
            <w:bCs w:val="0"/>
            <w:i w:val="0"/>
            <w:iCs w:val="0"/>
            <w:noProof/>
            <w:sz w:val="24"/>
            <w:szCs w:val="24"/>
          </w:rPr>
          <w:tab/>
        </w:r>
        <w:r w:rsidR="00E733BC" w:rsidRPr="00A16EF6">
          <w:rPr>
            <w:rStyle w:val="Hyperlink"/>
            <w:noProof/>
            <w:lang w:val="en-US"/>
          </w:rPr>
          <w:t>Overview</w:t>
        </w:r>
        <w:r w:rsidR="00E733BC">
          <w:rPr>
            <w:noProof/>
            <w:webHidden/>
          </w:rPr>
          <w:tab/>
        </w:r>
        <w:r w:rsidR="00E733BC">
          <w:rPr>
            <w:noProof/>
            <w:webHidden/>
          </w:rPr>
          <w:fldChar w:fldCharType="begin"/>
        </w:r>
        <w:r w:rsidR="00E733BC">
          <w:rPr>
            <w:noProof/>
            <w:webHidden/>
          </w:rPr>
          <w:instrText xml:space="preserve"> PAGEREF _Toc60565137 \h </w:instrText>
        </w:r>
        <w:r w:rsidR="00E733BC">
          <w:rPr>
            <w:noProof/>
            <w:webHidden/>
          </w:rPr>
        </w:r>
        <w:r w:rsidR="00E733BC">
          <w:rPr>
            <w:noProof/>
            <w:webHidden/>
          </w:rPr>
          <w:fldChar w:fldCharType="separate"/>
        </w:r>
        <w:r w:rsidR="00E733BC">
          <w:rPr>
            <w:noProof/>
            <w:webHidden/>
          </w:rPr>
          <w:t>3</w:t>
        </w:r>
        <w:r w:rsidR="00E733BC">
          <w:rPr>
            <w:noProof/>
            <w:webHidden/>
          </w:rPr>
          <w:fldChar w:fldCharType="end"/>
        </w:r>
      </w:hyperlink>
    </w:p>
    <w:p w14:paraId="2379250F" w14:textId="741959AC"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38" w:history="1">
        <w:r w:rsidRPr="00A16EF6">
          <w:rPr>
            <w:rStyle w:val="Hyperlink"/>
            <w:noProof/>
            <w:lang w:val="en-US"/>
          </w:rPr>
          <w:t>1.1</w:t>
        </w:r>
        <w:r>
          <w:rPr>
            <w:rFonts w:asciiTheme="minorHAnsi" w:eastAsiaTheme="minorEastAsia" w:hAnsiTheme="minorHAnsi" w:cstheme="minorBidi"/>
            <w:b w:val="0"/>
            <w:bCs w:val="0"/>
            <w:noProof/>
            <w:sz w:val="24"/>
            <w:szCs w:val="24"/>
          </w:rPr>
          <w:tab/>
        </w:r>
        <w:r w:rsidRPr="00A16EF6">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_Toc60565138 \h </w:instrText>
        </w:r>
        <w:r>
          <w:rPr>
            <w:noProof/>
            <w:webHidden/>
          </w:rPr>
        </w:r>
        <w:r>
          <w:rPr>
            <w:noProof/>
            <w:webHidden/>
          </w:rPr>
          <w:fldChar w:fldCharType="separate"/>
        </w:r>
        <w:r>
          <w:rPr>
            <w:noProof/>
            <w:webHidden/>
          </w:rPr>
          <w:t>3</w:t>
        </w:r>
        <w:r>
          <w:rPr>
            <w:noProof/>
            <w:webHidden/>
          </w:rPr>
          <w:fldChar w:fldCharType="end"/>
        </w:r>
      </w:hyperlink>
    </w:p>
    <w:p w14:paraId="798F7275" w14:textId="23966D3D"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39" w:history="1">
        <w:r w:rsidRPr="00A16EF6">
          <w:rPr>
            <w:rStyle w:val="Hyperlink"/>
            <w:noProof/>
          </w:rPr>
          <w:t>1.2</w:t>
        </w:r>
        <w:r>
          <w:rPr>
            <w:rFonts w:asciiTheme="minorHAnsi" w:eastAsiaTheme="minorEastAsia" w:hAnsiTheme="minorHAnsi" w:cstheme="minorBidi"/>
            <w:b w:val="0"/>
            <w:bCs w:val="0"/>
            <w:noProof/>
            <w:sz w:val="24"/>
            <w:szCs w:val="24"/>
          </w:rPr>
          <w:tab/>
        </w:r>
        <w:r w:rsidRPr="00A16EF6">
          <w:rPr>
            <w:rStyle w:val="Hyperlink"/>
            <w:noProof/>
          </w:rPr>
          <w:t>Features of EPSMI going beyond EPS</w:t>
        </w:r>
        <w:r>
          <w:rPr>
            <w:noProof/>
            <w:webHidden/>
          </w:rPr>
          <w:tab/>
        </w:r>
        <w:r>
          <w:rPr>
            <w:noProof/>
            <w:webHidden/>
          </w:rPr>
          <w:fldChar w:fldCharType="begin"/>
        </w:r>
        <w:r>
          <w:rPr>
            <w:noProof/>
            <w:webHidden/>
          </w:rPr>
          <w:instrText xml:space="preserve"> PAGEREF _Toc60565139 \h </w:instrText>
        </w:r>
        <w:r>
          <w:rPr>
            <w:noProof/>
            <w:webHidden/>
          </w:rPr>
        </w:r>
        <w:r>
          <w:rPr>
            <w:noProof/>
            <w:webHidden/>
          </w:rPr>
          <w:fldChar w:fldCharType="separate"/>
        </w:r>
        <w:r>
          <w:rPr>
            <w:noProof/>
            <w:webHidden/>
          </w:rPr>
          <w:t>3</w:t>
        </w:r>
        <w:r>
          <w:rPr>
            <w:noProof/>
            <w:webHidden/>
          </w:rPr>
          <w:fldChar w:fldCharType="end"/>
        </w:r>
      </w:hyperlink>
    </w:p>
    <w:p w14:paraId="0F26F3AF" w14:textId="73F6BAED" w:rsidR="00E733BC" w:rsidRDefault="00E733B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5140" w:history="1">
        <w:r w:rsidRPr="00A16EF6">
          <w:rPr>
            <w:rStyle w:val="Hyperlink"/>
            <w:noProof/>
          </w:rPr>
          <w:t>2</w:t>
        </w:r>
        <w:r>
          <w:rPr>
            <w:rFonts w:asciiTheme="minorHAnsi" w:eastAsiaTheme="minorEastAsia" w:hAnsiTheme="minorHAnsi" w:cstheme="minorBidi"/>
            <w:b w:val="0"/>
            <w:bCs w:val="0"/>
            <w:i w:val="0"/>
            <w:iCs w:val="0"/>
            <w:noProof/>
            <w:sz w:val="24"/>
            <w:szCs w:val="24"/>
          </w:rPr>
          <w:tab/>
        </w:r>
        <w:r w:rsidRPr="00A16EF6">
          <w:rPr>
            <w:rStyle w:val="Hyperlink"/>
            <w:noProof/>
          </w:rPr>
          <w:t>API</w:t>
        </w:r>
        <w:r>
          <w:rPr>
            <w:noProof/>
            <w:webHidden/>
          </w:rPr>
          <w:tab/>
        </w:r>
        <w:r>
          <w:rPr>
            <w:noProof/>
            <w:webHidden/>
          </w:rPr>
          <w:fldChar w:fldCharType="begin"/>
        </w:r>
        <w:r>
          <w:rPr>
            <w:noProof/>
            <w:webHidden/>
          </w:rPr>
          <w:instrText xml:space="preserve"> PAGEREF _Toc60565140 \h </w:instrText>
        </w:r>
        <w:r>
          <w:rPr>
            <w:noProof/>
            <w:webHidden/>
          </w:rPr>
        </w:r>
        <w:r>
          <w:rPr>
            <w:noProof/>
            <w:webHidden/>
          </w:rPr>
          <w:fldChar w:fldCharType="separate"/>
        </w:r>
        <w:r>
          <w:rPr>
            <w:noProof/>
            <w:webHidden/>
          </w:rPr>
          <w:t>3</w:t>
        </w:r>
        <w:r>
          <w:rPr>
            <w:noProof/>
            <w:webHidden/>
          </w:rPr>
          <w:fldChar w:fldCharType="end"/>
        </w:r>
      </w:hyperlink>
    </w:p>
    <w:p w14:paraId="645F39BE" w14:textId="6C8081BC"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41" w:history="1">
        <w:r w:rsidRPr="00A16EF6">
          <w:rPr>
            <w:rStyle w:val="Hyperlink"/>
            <w:noProof/>
          </w:rPr>
          <w:t>2.1</w:t>
        </w:r>
        <w:r>
          <w:rPr>
            <w:rFonts w:asciiTheme="minorHAnsi" w:eastAsiaTheme="minorEastAsia" w:hAnsiTheme="minorHAnsi" w:cstheme="minorBidi"/>
            <w:b w:val="0"/>
            <w:bCs w:val="0"/>
            <w:noProof/>
            <w:sz w:val="24"/>
            <w:szCs w:val="24"/>
          </w:rPr>
          <w:tab/>
        </w:r>
        <w:r w:rsidRPr="00A16EF6">
          <w:rPr>
            <w:rStyle w:val="Hyperlink"/>
            <w:noProof/>
          </w:rPr>
          <w:t>Queries by Electrum Wallet</w:t>
        </w:r>
        <w:r>
          <w:rPr>
            <w:noProof/>
            <w:webHidden/>
          </w:rPr>
          <w:tab/>
        </w:r>
        <w:r>
          <w:rPr>
            <w:noProof/>
            <w:webHidden/>
          </w:rPr>
          <w:fldChar w:fldCharType="begin"/>
        </w:r>
        <w:r>
          <w:rPr>
            <w:noProof/>
            <w:webHidden/>
          </w:rPr>
          <w:instrText xml:space="preserve"> PAGEREF _Toc60565141 \h </w:instrText>
        </w:r>
        <w:r>
          <w:rPr>
            <w:noProof/>
            <w:webHidden/>
          </w:rPr>
        </w:r>
        <w:r>
          <w:rPr>
            <w:noProof/>
            <w:webHidden/>
          </w:rPr>
          <w:fldChar w:fldCharType="separate"/>
        </w:r>
        <w:r>
          <w:rPr>
            <w:noProof/>
            <w:webHidden/>
          </w:rPr>
          <w:t>3</w:t>
        </w:r>
        <w:r>
          <w:rPr>
            <w:noProof/>
            <w:webHidden/>
          </w:rPr>
          <w:fldChar w:fldCharType="end"/>
        </w:r>
      </w:hyperlink>
    </w:p>
    <w:p w14:paraId="34371E91" w14:textId="1153E425" w:rsidR="00E733BC" w:rsidRDefault="00E733BC">
      <w:pPr>
        <w:pStyle w:val="TOC3"/>
        <w:tabs>
          <w:tab w:val="left" w:pos="1320"/>
          <w:tab w:val="right" w:leader="dot" w:pos="9486"/>
        </w:tabs>
        <w:rPr>
          <w:rFonts w:asciiTheme="minorHAnsi" w:eastAsiaTheme="minorEastAsia" w:hAnsiTheme="minorHAnsi" w:cstheme="minorBidi"/>
          <w:noProof/>
          <w:sz w:val="24"/>
        </w:rPr>
      </w:pPr>
      <w:hyperlink w:anchor="_Toc60565142" w:history="1">
        <w:r w:rsidRPr="00A16EF6">
          <w:rPr>
            <w:rStyle w:val="Hyperlink"/>
            <w:noProof/>
            <w:lang w:val="en-US"/>
          </w:rPr>
          <w:t>2.1.1</w:t>
        </w:r>
        <w:r>
          <w:rPr>
            <w:rFonts w:asciiTheme="minorHAnsi" w:eastAsiaTheme="minorEastAsia" w:hAnsiTheme="minorHAnsi" w:cstheme="minorBidi"/>
            <w:noProof/>
            <w:sz w:val="24"/>
          </w:rPr>
          <w:tab/>
        </w:r>
        <w:r w:rsidRPr="00A16EF6">
          <w:rPr>
            <w:rStyle w:val="Hyperlink"/>
            <w:noProof/>
            <w:lang w:val="en-US"/>
          </w:rPr>
          <w:t>blockchain.scripthash.get_balance</w:t>
        </w:r>
        <w:r>
          <w:rPr>
            <w:noProof/>
            <w:webHidden/>
          </w:rPr>
          <w:tab/>
        </w:r>
        <w:r>
          <w:rPr>
            <w:noProof/>
            <w:webHidden/>
          </w:rPr>
          <w:fldChar w:fldCharType="begin"/>
        </w:r>
        <w:r>
          <w:rPr>
            <w:noProof/>
            <w:webHidden/>
          </w:rPr>
          <w:instrText xml:space="preserve"> PAGEREF _Toc60565142 \h </w:instrText>
        </w:r>
        <w:r>
          <w:rPr>
            <w:noProof/>
            <w:webHidden/>
          </w:rPr>
        </w:r>
        <w:r>
          <w:rPr>
            <w:noProof/>
            <w:webHidden/>
          </w:rPr>
          <w:fldChar w:fldCharType="separate"/>
        </w:r>
        <w:r>
          <w:rPr>
            <w:noProof/>
            <w:webHidden/>
          </w:rPr>
          <w:t>5</w:t>
        </w:r>
        <w:r>
          <w:rPr>
            <w:noProof/>
            <w:webHidden/>
          </w:rPr>
          <w:fldChar w:fldCharType="end"/>
        </w:r>
      </w:hyperlink>
    </w:p>
    <w:p w14:paraId="419C73C6" w14:textId="69840DBA"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43" w:history="1">
        <w:r w:rsidRPr="00A16EF6">
          <w:rPr>
            <w:rStyle w:val="Hyperlink"/>
            <w:noProof/>
            <w:lang w:val="en-US"/>
          </w:rPr>
          <w:t>2.2</w:t>
        </w:r>
        <w:r>
          <w:rPr>
            <w:rFonts w:asciiTheme="minorHAnsi" w:eastAsiaTheme="minorEastAsia" w:hAnsiTheme="minorHAnsi" w:cstheme="minorBidi"/>
            <w:b w:val="0"/>
            <w:bCs w:val="0"/>
            <w:noProof/>
            <w:sz w:val="24"/>
            <w:szCs w:val="24"/>
          </w:rPr>
          <w:tab/>
        </w:r>
        <w:r w:rsidRPr="00A16EF6">
          <w:rPr>
            <w:rStyle w:val="Hyperlink"/>
            <w:noProof/>
            <w:lang w:val="en-US"/>
          </w:rPr>
          <w:t>Components</w:t>
        </w:r>
        <w:r>
          <w:rPr>
            <w:noProof/>
            <w:webHidden/>
          </w:rPr>
          <w:tab/>
        </w:r>
        <w:r>
          <w:rPr>
            <w:noProof/>
            <w:webHidden/>
          </w:rPr>
          <w:fldChar w:fldCharType="begin"/>
        </w:r>
        <w:r>
          <w:rPr>
            <w:noProof/>
            <w:webHidden/>
          </w:rPr>
          <w:instrText xml:space="preserve"> PAGEREF _Toc60565143 \h </w:instrText>
        </w:r>
        <w:r>
          <w:rPr>
            <w:noProof/>
            <w:webHidden/>
          </w:rPr>
        </w:r>
        <w:r>
          <w:rPr>
            <w:noProof/>
            <w:webHidden/>
          </w:rPr>
          <w:fldChar w:fldCharType="separate"/>
        </w:r>
        <w:r>
          <w:rPr>
            <w:noProof/>
            <w:webHidden/>
          </w:rPr>
          <w:t>5</w:t>
        </w:r>
        <w:r>
          <w:rPr>
            <w:noProof/>
            <w:webHidden/>
          </w:rPr>
          <w:fldChar w:fldCharType="end"/>
        </w:r>
      </w:hyperlink>
    </w:p>
    <w:p w14:paraId="2A123744" w14:textId="2492E9F3" w:rsidR="00E733BC" w:rsidRDefault="00E733B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5144" w:history="1">
        <w:r w:rsidRPr="00A16EF6">
          <w:rPr>
            <w:rStyle w:val="Hyperlink"/>
            <w:noProof/>
            <w:lang w:val="en-US"/>
          </w:rPr>
          <w:t>3</w:t>
        </w:r>
        <w:r>
          <w:rPr>
            <w:rFonts w:asciiTheme="minorHAnsi" w:eastAsiaTheme="minorEastAsia" w:hAnsiTheme="minorHAnsi" w:cstheme="minorBidi"/>
            <w:b w:val="0"/>
            <w:bCs w:val="0"/>
            <w:i w:val="0"/>
            <w:iCs w:val="0"/>
            <w:noProof/>
            <w:sz w:val="24"/>
            <w:szCs w:val="24"/>
          </w:rPr>
          <w:tab/>
        </w:r>
        <w:r w:rsidRPr="00A16EF6">
          <w:rPr>
            <w:rStyle w:val="Hyperlink"/>
            <w:noProof/>
            <w:lang w:val="en-US"/>
          </w:rPr>
          <w:t>Configuration Management</w:t>
        </w:r>
        <w:r>
          <w:rPr>
            <w:noProof/>
            <w:webHidden/>
          </w:rPr>
          <w:tab/>
        </w:r>
        <w:r>
          <w:rPr>
            <w:noProof/>
            <w:webHidden/>
          </w:rPr>
          <w:fldChar w:fldCharType="begin"/>
        </w:r>
        <w:r>
          <w:rPr>
            <w:noProof/>
            <w:webHidden/>
          </w:rPr>
          <w:instrText xml:space="preserve"> PAGEREF _Toc60565144 \h </w:instrText>
        </w:r>
        <w:r>
          <w:rPr>
            <w:noProof/>
            <w:webHidden/>
          </w:rPr>
        </w:r>
        <w:r>
          <w:rPr>
            <w:noProof/>
            <w:webHidden/>
          </w:rPr>
          <w:fldChar w:fldCharType="separate"/>
        </w:r>
        <w:r>
          <w:rPr>
            <w:noProof/>
            <w:webHidden/>
          </w:rPr>
          <w:t>8</w:t>
        </w:r>
        <w:r>
          <w:rPr>
            <w:noProof/>
            <w:webHidden/>
          </w:rPr>
          <w:fldChar w:fldCharType="end"/>
        </w:r>
      </w:hyperlink>
    </w:p>
    <w:p w14:paraId="17DEF85C" w14:textId="7FF9B4F1"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45" w:history="1">
        <w:r w:rsidRPr="00A16EF6">
          <w:rPr>
            <w:rStyle w:val="Hyperlink"/>
            <w:noProof/>
            <w:lang w:val="en-US"/>
          </w:rPr>
          <w:t>3.1</w:t>
        </w:r>
        <w:r>
          <w:rPr>
            <w:rFonts w:asciiTheme="minorHAnsi" w:eastAsiaTheme="minorEastAsia" w:hAnsiTheme="minorHAnsi" w:cstheme="minorBidi"/>
            <w:b w:val="0"/>
            <w:bCs w:val="0"/>
            <w:noProof/>
            <w:sz w:val="24"/>
            <w:szCs w:val="24"/>
          </w:rPr>
          <w:tab/>
        </w:r>
        <w:r w:rsidRPr="00A16EF6">
          <w:rPr>
            <w:rStyle w:val="Hyperlink"/>
            <w:noProof/>
            <w:lang w:val="en-US"/>
          </w:rPr>
          <w:t>Database Configuration Table – T_ENV</w:t>
        </w:r>
        <w:r>
          <w:rPr>
            <w:noProof/>
            <w:webHidden/>
          </w:rPr>
          <w:tab/>
        </w:r>
        <w:r>
          <w:rPr>
            <w:noProof/>
            <w:webHidden/>
          </w:rPr>
          <w:fldChar w:fldCharType="begin"/>
        </w:r>
        <w:r>
          <w:rPr>
            <w:noProof/>
            <w:webHidden/>
          </w:rPr>
          <w:instrText xml:space="preserve"> PAGEREF _Toc60565145 \h </w:instrText>
        </w:r>
        <w:r>
          <w:rPr>
            <w:noProof/>
            <w:webHidden/>
          </w:rPr>
        </w:r>
        <w:r>
          <w:rPr>
            <w:noProof/>
            <w:webHidden/>
          </w:rPr>
          <w:fldChar w:fldCharType="separate"/>
        </w:r>
        <w:r>
          <w:rPr>
            <w:noProof/>
            <w:webHidden/>
          </w:rPr>
          <w:t>8</w:t>
        </w:r>
        <w:r>
          <w:rPr>
            <w:noProof/>
            <w:webHidden/>
          </w:rPr>
          <w:fldChar w:fldCharType="end"/>
        </w:r>
      </w:hyperlink>
    </w:p>
    <w:p w14:paraId="5FEA8DED" w14:textId="6A103189" w:rsidR="00E733BC" w:rsidRDefault="00E733B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5146" w:history="1">
        <w:r w:rsidRPr="00A16EF6">
          <w:rPr>
            <w:rStyle w:val="Hyperlink"/>
            <w:noProof/>
            <w:lang w:val="en-US"/>
          </w:rPr>
          <w:t>3.2</w:t>
        </w:r>
        <w:r>
          <w:rPr>
            <w:rFonts w:asciiTheme="minorHAnsi" w:eastAsiaTheme="minorEastAsia" w:hAnsiTheme="minorHAnsi" w:cstheme="minorBidi"/>
            <w:b w:val="0"/>
            <w:bCs w:val="0"/>
            <w:noProof/>
            <w:sz w:val="24"/>
            <w:szCs w:val="24"/>
          </w:rPr>
          <w:tab/>
        </w:r>
        <w:r w:rsidRPr="00A16EF6">
          <w:rPr>
            <w:rStyle w:val="Hyperlink"/>
            <w:noProof/>
            <w:lang w:val="en-US"/>
          </w:rPr>
          <w:t>Web Service Configuration</w:t>
        </w:r>
        <w:r>
          <w:rPr>
            <w:noProof/>
            <w:webHidden/>
          </w:rPr>
          <w:tab/>
        </w:r>
        <w:r>
          <w:rPr>
            <w:noProof/>
            <w:webHidden/>
          </w:rPr>
          <w:fldChar w:fldCharType="begin"/>
        </w:r>
        <w:r>
          <w:rPr>
            <w:noProof/>
            <w:webHidden/>
          </w:rPr>
          <w:instrText xml:space="preserve"> PAGEREF _Toc60565146 \h </w:instrText>
        </w:r>
        <w:r>
          <w:rPr>
            <w:noProof/>
            <w:webHidden/>
          </w:rPr>
        </w:r>
        <w:r>
          <w:rPr>
            <w:noProof/>
            <w:webHidden/>
          </w:rPr>
          <w:fldChar w:fldCharType="separate"/>
        </w:r>
        <w:r>
          <w:rPr>
            <w:noProof/>
            <w:webHidden/>
          </w:rPr>
          <w:t>11</w:t>
        </w:r>
        <w:r>
          <w:rPr>
            <w:noProof/>
            <w:webHidden/>
          </w:rPr>
          <w:fldChar w:fldCharType="end"/>
        </w:r>
      </w:hyperlink>
    </w:p>
    <w:p w14:paraId="5631967C" w14:textId="657A2FEE"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565137"/>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565138"/>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565139"/>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60565140"/>
      <w:r>
        <w:t>API</w:t>
      </w:r>
      <w:bookmarkEnd w:id="3"/>
    </w:p>
    <w:p w14:paraId="059EAB90" w14:textId="77777777" w:rsidR="00423CD9" w:rsidRDefault="00423CD9" w:rsidP="00423CD9"/>
    <w:p w14:paraId="5A78EB64" w14:textId="7E652DEE" w:rsidR="00423CD9" w:rsidRPr="00423CD9" w:rsidRDefault="00423CD9" w:rsidP="0033744D">
      <w:pPr>
        <w:pStyle w:val="Heading2"/>
      </w:pPr>
      <w:bookmarkStart w:id="4" w:name="_Toc60565141"/>
      <w:r>
        <w:t>Queries by Electrum Wallet</w:t>
      </w:r>
      <w:bookmarkEnd w:id="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517"/>
        <w:gridCol w:w="1428"/>
        <w:gridCol w:w="3031"/>
        <w:gridCol w:w="1617"/>
        <w:gridCol w:w="1495"/>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r w:rsidRPr="00ED3675">
              <w:rPr>
                <w:rFonts w:ascii="Courier" w:hAnsi="Courier"/>
              </w:rPr>
              <w:t>server.ping</w:t>
            </w:r>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r w:rsidRPr="00ED3675">
              <w:rPr>
                <w:rFonts w:ascii="Courier" w:hAnsi="Courier"/>
              </w:rPr>
              <w:t>server.</w:t>
            </w:r>
            <w:r>
              <w:rPr>
                <w:rFonts w:ascii="Courier" w:hAnsi="Courier"/>
              </w:rPr>
              <w:t>banner</w:t>
            </w:r>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Calls networkInfo and blockchainInfo – may throw exception (TODO – see how these exceptions are handled).</w:t>
            </w:r>
          </w:p>
        </w:tc>
      </w:tr>
      <w:tr w:rsidR="008D7830" w14:paraId="28F4848C" w14:textId="77777777" w:rsidTr="00105C0D">
        <w:tc>
          <w:tcPr>
            <w:tcW w:w="3204" w:type="dxa"/>
          </w:tcPr>
          <w:p w14:paraId="43EC1C83" w14:textId="3E33935F" w:rsidR="00105C0D" w:rsidRDefault="00105C0D" w:rsidP="00014E45">
            <w:pPr>
              <w:rPr>
                <w:lang w:val="en-US"/>
              </w:rPr>
            </w:pPr>
            <w:r>
              <w:rPr>
                <w:rFonts w:ascii="Courier" w:hAnsi="Courier"/>
              </w:rPr>
              <w:t>server.donation_address</w:t>
            </w:r>
          </w:p>
        </w:tc>
        <w:tc>
          <w:tcPr>
            <w:tcW w:w="1878" w:type="dxa"/>
          </w:tcPr>
          <w:p w14:paraId="540EA9AD" w14:textId="5BA977E1" w:rsidR="00105C0D" w:rsidRPr="00461CE4" w:rsidRDefault="00105C0D" w:rsidP="00014E45">
            <w:pPr>
              <w:rPr>
                <w:lang w:val="en-US"/>
              </w:rPr>
            </w:pPr>
            <w:r w:rsidRPr="00461CE4">
              <w:rPr>
                <w:sz w:val="20"/>
              </w:rPr>
              <w:t xml:space="preserve">Provides donation address which will be used by Electrum app in the Help/Donate to server </w:t>
            </w:r>
            <w:r w:rsidRPr="00461CE4">
              <w:rPr>
                <w:sz w:val="20"/>
              </w:rPr>
              <w:lastRenderedPageBreak/>
              <w:t>function</w:t>
            </w:r>
          </w:p>
        </w:tc>
        <w:tc>
          <w:tcPr>
            <w:tcW w:w="1868" w:type="dxa"/>
          </w:tcPr>
          <w:p w14:paraId="519034C1" w14:textId="0F68E0D0" w:rsidR="00105C0D" w:rsidRPr="00461CE4" w:rsidRDefault="00105C0D" w:rsidP="00014E45">
            <w:pPr>
              <w:rPr>
                <w:lang w:val="en-US"/>
              </w:rPr>
            </w:pPr>
            <w:r w:rsidRPr="00461CE4">
              <w:rPr>
                <w:sz w:val="20"/>
              </w:rPr>
              <w:lastRenderedPageBreak/>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7739663C" w14:textId="6AA30D4C" w:rsidR="00E657E9" w:rsidRDefault="00F81274" w:rsidP="00014E45">
            <w:pPr>
              <w:rPr>
                <w:rFonts w:ascii="Courier" w:hAnsi="Courier"/>
              </w:rPr>
            </w:pPr>
            <w:r>
              <w:rPr>
                <w:rFonts w:ascii="Courier" w:hAnsi="Courier"/>
              </w:rPr>
              <w:t>m</w:t>
            </w:r>
            <w:r w:rsidR="006F2920">
              <w:rPr>
                <w:rFonts w:ascii="Courier" w:hAnsi="Courier"/>
              </w:rPr>
              <w:t>empool.get_fee_histogram</w:t>
            </w:r>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r w:rsidRPr="00030159">
              <w:rPr>
                <w:iCs/>
                <w:sz w:val="20"/>
              </w:rPr>
              <w:t>vsize</w:t>
            </w:r>
            <w:r w:rsidRPr="00030159">
              <w:rPr>
                <w:sz w:val="20"/>
              </w:rPr>
              <w:t>] pairs, where vsize</w:t>
            </w:r>
            <w:r w:rsidRPr="00030159">
              <w:rPr>
                <w:sz w:val="20"/>
                <w:vertAlign w:val="subscript"/>
              </w:rPr>
              <w:t>n</w:t>
            </w:r>
            <w:r w:rsidRPr="00030159">
              <w:rPr>
                <w:sz w:val="20"/>
              </w:rPr>
              <w:t> is the cumulative virtual size of mempool transactions with a fee rate in the interval [fee</w:t>
            </w:r>
            <w:r w:rsidRPr="00030159">
              <w:rPr>
                <w:sz w:val="20"/>
                <w:vertAlign w:val="subscript"/>
              </w:rPr>
              <w:t>n-1</w:t>
            </w:r>
            <w:r w:rsidRPr="00030159">
              <w:rPr>
                <w:sz w:val="20"/>
              </w:rPr>
              <w:t>, fee</w:t>
            </w:r>
            <w:r w:rsidRPr="00030159">
              <w:rPr>
                <w:sz w:val="20"/>
                <w:vertAlign w:val="subscript"/>
              </w:rPr>
              <w:t>n</w:t>
            </w:r>
            <w:r w:rsidRPr="00030159">
              <w:rPr>
                <w:sz w:val="20"/>
              </w:rPr>
              <w:t>], and fee</w:t>
            </w:r>
            <w:r w:rsidRPr="00030159">
              <w:rPr>
                <w:sz w:val="20"/>
                <w:vertAlign w:val="subscript"/>
              </w:rPr>
              <w:t>n-1</w:t>
            </w:r>
            <w:r w:rsidRPr="00030159">
              <w:rPr>
                <w:sz w:val="20"/>
              </w:rPr>
              <w:t> &gt; fee</w:t>
            </w:r>
            <w:r w:rsidRPr="00030159">
              <w:rPr>
                <w:sz w:val="20"/>
                <w:vertAlign w:val="subscript"/>
              </w:rPr>
              <w:t>n</w:t>
            </w:r>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r w:rsidRPr="00030159">
              <w:rPr>
                <w:sz w:val="20"/>
              </w:rPr>
              <w:t>Array[Array[Int]] – array of pairs of integers for fee and vsize</w:t>
            </w:r>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r>
              <w:rPr>
                <w:rFonts w:ascii="Courier" w:hAnsi="Courier"/>
              </w:rPr>
              <w:t>server.version</w:t>
            </w:r>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r>
              <w:rPr>
                <w:rFonts w:ascii="Courier" w:hAnsi="Courier"/>
              </w:rPr>
              <w:t>blockchain.estimatefee</w:t>
            </w:r>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r>
              <w:rPr>
                <w:sz w:val="20"/>
              </w:rPr>
              <w:t>waitBlocks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r>
              <w:rPr>
                <w:sz w:val="20"/>
              </w:rPr>
              <w:t>BigDecimal – fee rate</w:t>
            </w:r>
          </w:p>
        </w:tc>
        <w:tc>
          <w:tcPr>
            <w:tcW w:w="1901" w:type="dxa"/>
          </w:tcPr>
          <w:p w14:paraId="4D3144DC" w14:textId="37CC1B37" w:rsidR="00030159" w:rsidRPr="007F6D03" w:rsidRDefault="00BA17B4" w:rsidP="00014E45">
            <w:pPr>
              <w:rPr>
                <w:sz w:val="20"/>
              </w:rPr>
            </w:pPr>
            <w:r w:rsidRPr="007F6D03">
              <w:rPr>
                <w:sz w:val="20"/>
              </w:rPr>
              <w:t>Error when waitBlocks parameter is not in the range 1-1008</w:t>
            </w:r>
          </w:p>
        </w:tc>
      </w:tr>
      <w:tr w:rsidR="00030159" w14:paraId="6F8C1683" w14:textId="77777777" w:rsidTr="00105C0D">
        <w:tc>
          <w:tcPr>
            <w:tcW w:w="3204" w:type="dxa"/>
          </w:tcPr>
          <w:p w14:paraId="3D37351E" w14:textId="77777777" w:rsidR="00BB3B3F" w:rsidRDefault="00BB3B3F" w:rsidP="00014E45">
            <w:pPr>
              <w:rPr>
                <w:rFonts w:ascii="Courier" w:hAnsi="Courier"/>
              </w:rPr>
            </w:pPr>
            <w:r w:rsidRPr="00BB3B3F">
              <w:rPr>
                <w:rFonts w:ascii="Courier" w:hAnsi="Courier"/>
              </w:rPr>
              <w:t>blockchain.scripthash</w:t>
            </w:r>
          </w:p>
          <w:p w14:paraId="04F96F23" w14:textId="09FD90AD" w:rsidR="00030159" w:rsidRDefault="00BB3B3F" w:rsidP="00014E45">
            <w:pPr>
              <w:rPr>
                <w:rFonts w:ascii="Courier" w:hAnsi="Courier"/>
              </w:rPr>
            </w:pPr>
            <w:r w:rsidRPr="00BB3B3F">
              <w:rPr>
                <w:rFonts w:ascii="Courier" w:hAnsi="Courier"/>
              </w:rPr>
              <w:t>.get_balance</w:t>
            </w:r>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DE48492" w14:textId="77777777" w:rsidR="00EB2A7A" w:rsidRDefault="006B01B1" w:rsidP="00EB2A7A">
            <w:r>
              <w:rPr>
                <w:sz w:val="20"/>
              </w:rPr>
              <w:t>String containing scripthash</w:t>
            </w:r>
            <w:r w:rsidR="00A06E4D">
              <w:rPr>
                <w:sz w:val="20"/>
              </w:rPr>
              <w:t xml:space="preserve"> as </w:t>
            </w:r>
            <w:r w:rsidR="00EB2A7A">
              <w:rPr>
                <w:sz w:val="20"/>
              </w:rPr>
              <w:t xml:space="preserve">hex, e.g.: </w:t>
            </w:r>
            <w:r w:rsidR="00EB2A7A" w:rsidRPr="00EB2A7A">
              <w:t>5be022609383d23e2d545b3</w:t>
            </w:r>
          </w:p>
          <w:p w14:paraId="1A36293E" w14:textId="77777777" w:rsidR="00EB2A7A" w:rsidRDefault="00EB2A7A" w:rsidP="00EB2A7A">
            <w:r w:rsidRPr="00EB2A7A">
              <w:t>b359446466c269686c1e697</w:t>
            </w:r>
          </w:p>
          <w:p w14:paraId="4521DD29" w14:textId="2AD8FDAD" w:rsidR="00EB2A7A" w:rsidRPr="00EB2A7A" w:rsidRDefault="00EB2A7A" w:rsidP="00EB2A7A">
            <w:r w:rsidRPr="00EB2A7A">
              <w:t>b60355424ed30490d2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77777777" w:rsidR="00030159" w:rsidRDefault="00030159" w:rsidP="00014E45">
            <w:pPr>
              <w:rPr>
                <w:b/>
                <w:sz w:val="20"/>
              </w:rPr>
            </w:pPr>
          </w:p>
        </w:tc>
      </w:tr>
    </w:tbl>
    <w:p w14:paraId="183D5305" w14:textId="77777777" w:rsidR="00DD2D24" w:rsidRDefault="00DD2D24" w:rsidP="00014E45">
      <w:pPr>
        <w:rPr>
          <w:lang w:val="en-US"/>
        </w:rPr>
      </w:pPr>
    </w:p>
    <w:p w14:paraId="505E6955" w14:textId="77777777" w:rsidR="003C02AB" w:rsidRDefault="003C02AB" w:rsidP="00014E45">
      <w:pPr>
        <w:rPr>
          <w:lang w:val="en-US"/>
        </w:rPr>
      </w:pPr>
    </w:p>
    <w:p w14:paraId="50FBB2CD" w14:textId="2E4B7D87" w:rsidR="003C02AB" w:rsidRDefault="00D9104F" w:rsidP="00D9104F">
      <w:pPr>
        <w:pStyle w:val="Heading3"/>
        <w:rPr>
          <w:lang w:val="en-US"/>
        </w:rPr>
      </w:pPr>
      <w:bookmarkStart w:id="5" w:name="_Toc60565142"/>
      <w:r>
        <w:rPr>
          <w:lang w:val="en-US"/>
        </w:rPr>
        <w:lastRenderedPageBreak/>
        <w:t>blockchain.scripthash.get_balance</w:t>
      </w:r>
      <w:bookmarkEnd w:id="5"/>
    </w:p>
    <w:p w14:paraId="211B617D" w14:textId="77777777" w:rsidR="00D9104F" w:rsidRDefault="00D9104F" w:rsidP="00D9104F">
      <w:pPr>
        <w:rPr>
          <w:lang w:val="en-US"/>
        </w:rPr>
      </w:pPr>
    </w:p>
    <w:p w14:paraId="4D745945" w14:textId="495B0804" w:rsidR="00E32D9E" w:rsidRDefault="004528AA" w:rsidP="004270A6">
      <w:pPr>
        <w:jc w:val="both"/>
        <w:rPr>
          <w:lang w:val="en-US"/>
        </w:rPr>
      </w:pPr>
      <w:r>
        <w:rPr>
          <w:lang w:val="en-US"/>
        </w:rPr>
        <w:t>For a given scripthash</w:t>
      </w:r>
      <w:r w:rsidR="00574BF1">
        <w:rPr>
          <w:lang w:val="en-US"/>
        </w:rPr>
        <w:t xml:space="preserve"> sh</w:t>
      </w:r>
      <w:r>
        <w:rPr>
          <w:lang w:val="en-US"/>
        </w:rPr>
        <w:t xml:space="preserve">, we retrieve history elements from transaction monitor state transaction history. </w:t>
      </w:r>
      <w:r w:rsidR="001F3F62">
        <w:rPr>
          <w:lang w:val="en-US"/>
        </w:rPr>
        <w:t xml:space="preserve">For each history element, </w:t>
      </w:r>
      <w:r w:rsidR="00574BF1">
        <w:rPr>
          <w:lang w:val="en-US"/>
        </w:rPr>
        <w:t xml:space="preserve">we obtain txhash, from txhash we obtain decoded raw transaction (via </w:t>
      </w:r>
      <w:r w:rsidR="007D4FA9">
        <w:rPr>
          <w:lang w:val="en-US"/>
        </w:rPr>
        <w:t xml:space="preserve">2 calls to </w:t>
      </w:r>
      <w:r w:rsidR="00574BF1">
        <w:rPr>
          <w:lang w:val="en-US"/>
        </w:rPr>
        <w:t xml:space="preserve">bitcoin rpc). In </w:t>
      </w:r>
      <w:r w:rsidR="002C6D07">
        <w:rPr>
          <w:lang w:val="en-US"/>
        </w:rPr>
        <w:t xml:space="preserve">a </w:t>
      </w:r>
      <w:r w:rsidR="00574BF1">
        <w:rPr>
          <w:lang w:val="en-US"/>
        </w:rPr>
        <w:t>raw transaction we have access to vout, we filter vouts whose scriptpubkey is our sh, and collect amounts</w:t>
      </w:r>
      <w:r w:rsidR="00E32D9E">
        <w:rPr>
          <w:lang w:val="en-US"/>
        </w:rPr>
        <w:t xml:space="preserve"> and confirmation counts</w:t>
      </w:r>
      <w:r w:rsidR="00574BF1">
        <w:rPr>
          <w:lang w:val="en-US"/>
        </w:rPr>
        <w:t>.</w:t>
      </w:r>
      <w:r w:rsidR="00901A73">
        <w:rPr>
          <w:lang w:val="en-US"/>
        </w:rPr>
        <w:t xml:space="preserve"> </w:t>
      </w:r>
      <w:r w:rsidR="00574BF1">
        <w:rPr>
          <w:lang w:val="en-US"/>
        </w:rPr>
        <w:t>We also c</w:t>
      </w:r>
      <w:r w:rsidR="005926F4">
        <w:rPr>
          <w:lang w:val="en-US"/>
        </w:rPr>
        <w:t>ollect from vin utxo</w:t>
      </w:r>
      <w:r w:rsidR="00E32D9E">
        <w:rPr>
          <w:lang w:val="en-US"/>
        </w:rPr>
        <w:t xml:space="preserve">s </w:t>
      </w:r>
      <w:r w:rsidR="00901A73">
        <w:rPr>
          <w:lang w:val="en-US"/>
        </w:rPr>
        <w:t xml:space="preserve">txhashes and </w:t>
      </w:r>
      <w:r w:rsidR="00E32D9E">
        <w:rPr>
          <w:lang w:val="en-US"/>
        </w:rPr>
        <w:t xml:space="preserve">delete </w:t>
      </w:r>
      <w:r w:rsidR="00901A73">
        <w:rPr>
          <w:lang w:val="en-US"/>
        </w:rPr>
        <w:t>them if thay happen to already be in o</w:t>
      </w:r>
      <w:r w:rsidR="00E32D9E">
        <w:rPr>
          <w:lang w:val="en-US"/>
        </w:rPr>
        <w:t xml:space="preserve">ur collection – this is to avoid </w:t>
      </w:r>
      <w:r w:rsidR="003A25DE">
        <w:rPr>
          <w:lang w:val="en-US"/>
        </w:rPr>
        <w:t>c</w:t>
      </w:r>
      <w:r w:rsidR="00E32D9E">
        <w:rPr>
          <w:lang w:val="en-US"/>
        </w:rPr>
        <w:t xml:space="preserve">ounting </w:t>
      </w:r>
      <w:r w:rsidR="003A25DE">
        <w:rPr>
          <w:lang w:val="en-US"/>
        </w:rPr>
        <w:t xml:space="preserve">output of one transaction is consumed by another </w:t>
      </w:r>
      <w:r w:rsidR="00BA475F">
        <w:rPr>
          <w:lang w:val="en-US"/>
        </w:rPr>
        <w:t>for the same scripthash</w:t>
      </w:r>
      <w:r w:rsidR="00E32D9E">
        <w:rPr>
          <w:lang w:val="en-US"/>
        </w:rPr>
        <w:t xml:space="preserve">. At the end we sum separately </w:t>
      </w:r>
      <w:r w:rsidR="007B2658">
        <w:rPr>
          <w:lang w:val="en-US"/>
        </w:rPr>
        <w:t>amounts with zero confirmations and with 1 or more confirmations.</w:t>
      </w:r>
    </w:p>
    <w:p w14:paraId="3A9A1803" w14:textId="77777777" w:rsidR="00B05F4C" w:rsidRDefault="00B05F4C" w:rsidP="00D9104F">
      <w:pPr>
        <w:rPr>
          <w:lang w:val="en-US"/>
        </w:rPr>
      </w:pPr>
      <w:bookmarkStart w:id="6" w:name="_GoBack"/>
      <w:bookmarkEnd w:id="6"/>
    </w:p>
    <w:p w14:paraId="1BC63C32" w14:textId="77777777" w:rsidR="004528AA" w:rsidRDefault="004528AA" w:rsidP="00D9104F">
      <w:pPr>
        <w:rPr>
          <w:lang w:val="en-US"/>
        </w:rPr>
      </w:pPr>
    </w:p>
    <w:p w14:paraId="1EFFF8EC" w14:textId="77777777" w:rsidR="004528AA" w:rsidRDefault="004528AA" w:rsidP="00D9104F">
      <w:pPr>
        <w:rPr>
          <w:lang w:val="en-US"/>
        </w:rPr>
      </w:pPr>
    </w:p>
    <w:p w14:paraId="5CFD3665" w14:textId="77777777" w:rsidR="004528AA" w:rsidRDefault="004528AA" w:rsidP="00D9104F">
      <w:pPr>
        <w:rPr>
          <w:lang w:val="en-US"/>
        </w:rPr>
      </w:pPr>
    </w:p>
    <w:p w14:paraId="791CB786" w14:textId="77777777" w:rsidR="004528AA" w:rsidRDefault="004528AA" w:rsidP="00D9104F">
      <w:pPr>
        <w:rPr>
          <w:lang w:val="en-US"/>
        </w:rPr>
      </w:pPr>
    </w:p>
    <w:p w14:paraId="448D295B" w14:textId="77777777" w:rsidR="00D9104F" w:rsidRPr="00D9104F" w:rsidRDefault="00D9104F" w:rsidP="00D9104F">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7" w:name="_Toc60565143"/>
      <w:r>
        <w:rPr>
          <w:lang w:val="en-US"/>
        </w:rPr>
        <w:t>Components</w:t>
      </w:r>
      <w:bookmarkEnd w:id="7"/>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targeter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repository, and passes data to targeter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r w:rsidR="00E07EAE">
        <w:rPr>
          <w:lang w:val="en-US"/>
        </w:rPr>
        <w:t>noop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lastRenderedPageBreak/>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lastRenderedPageBreak/>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8" w:name="_Toc60565144"/>
      <w:r>
        <w:rPr>
          <w:lang w:val="en-US"/>
        </w:rPr>
        <w:t>Configuration Management</w:t>
      </w:r>
      <w:bookmarkEnd w:id="8"/>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As Hermes runs as a JEE6 application inside the Websphere Application Server, its direct configuration is done via Websphere resources. The following Websphere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"jdbc/CL3"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"mail/SRMail")</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9" w:name="_Toc60565145"/>
      <w:r>
        <w:rPr>
          <w:lang w:val="en-US"/>
        </w:rPr>
        <w:t>Database Configuration Table – T_ENV</w:t>
      </w:r>
      <w:bookmarkEnd w:id="9"/>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r w:rsidRPr="00142E3D">
              <w:rPr>
                <w:lang w:val="en-US"/>
              </w:rPr>
              <w:t>hermes.env</w:t>
            </w:r>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r w:rsidRPr="00016AA0">
              <w:rPr>
                <w:lang w:val="en-US"/>
              </w:rPr>
              <w:t>hermes.technical.user</w:t>
            </w:r>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r w:rsidRPr="00CD697A">
              <w:rPr>
                <w:lang w:val="en-US"/>
              </w:rPr>
              <w:t>hermes.from.address</w:t>
            </w:r>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Shown as Cerebro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{activityId}</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Cerebro link. </w:t>
            </w:r>
            <w:r w:rsidR="006511EF">
              <w:rPr>
                <w:lang w:val="en-US"/>
              </w:rPr>
              <w:t xml:space="preserve">Both </w:t>
            </w:r>
            <w:r w:rsidR="006511EF">
              <w:rPr>
                <w:lang w:val="en-US"/>
              </w:rPr>
              <w:lastRenderedPageBreak/>
              <w:t>cerebro.activity.url and cerebro.activity.sso.url are part of the same Cerebro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r w:rsidRPr="008E3C42">
              <w:rPr>
                <w:lang w:val="en-US"/>
              </w:rPr>
              <w:t>subscription.link</w:t>
            </w:r>
          </w:p>
        </w:tc>
        <w:tc>
          <w:tcPr>
            <w:tcW w:w="2601" w:type="dxa"/>
          </w:tcPr>
          <w:p w14:paraId="027B40F2" w14:textId="77777777" w:rsidR="004428B1" w:rsidRDefault="007F73A5" w:rsidP="00901C43">
            <w:pPr>
              <w:rPr>
                <w:lang w:val="en-US"/>
              </w:rPr>
            </w:pPr>
            <w:r>
              <w:rPr>
                <w:lang w:val="en-US"/>
              </w:rPr>
              <w:t>"</w:t>
            </w:r>
            <w:r w:rsidRPr="007F73A5">
              <w:rPr>
                <w:lang w:val="en-US"/>
              </w:rPr>
              <w:t>-na-</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r>
              <w:rPr>
                <w:lang w:val="en-US"/>
              </w:rPr>
              <w:t>cerebro.link</w:t>
            </w:r>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r w:rsidRPr="00C53529">
              <w:rPr>
                <w:lang w:val="en-US"/>
              </w:rPr>
              <w:t>arbiter.maxage.days</w:t>
            </w:r>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r w:rsidRPr="00366AE0">
              <w:rPr>
                <w:lang w:val="en-US"/>
              </w:rPr>
              <w:t>arbiter.cleanup.hours</w:t>
            </w:r>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r w:rsidRPr="00366AE0">
              <w:rPr>
                <w:lang w:val="en-US"/>
              </w:rPr>
              <w:t>arbiter.cleanup.</w:t>
            </w:r>
            <w:r>
              <w:rPr>
                <w:lang w:val="en-US"/>
              </w:rPr>
              <w:t>minutes</w:t>
            </w:r>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r w:rsidRPr="00865FCA">
              <w:rPr>
                <w:lang w:val="en-US"/>
              </w:rPr>
              <w:t>deliverylog.maxage.months</w:t>
            </w:r>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r w:rsidRPr="00A23436">
              <w:rPr>
                <w:lang w:val="en-US"/>
              </w:rPr>
              <w:t>deliverylog.cleanup.hours</w:t>
            </w:r>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r w:rsidRPr="00A23436">
              <w:rPr>
                <w:lang w:val="en-US"/>
              </w:rPr>
              <w:t>deliverylog.cleanup.</w:t>
            </w:r>
            <w:r>
              <w:rPr>
                <w:lang w:val="en-US"/>
              </w:rPr>
              <w:t>minutes</w:t>
            </w:r>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r w:rsidRPr="002C270B">
              <w:rPr>
                <w:lang w:val="en-US"/>
              </w:rPr>
              <w:t>oldevents.maxage.months</w:t>
            </w:r>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r w:rsidRPr="007C437D">
              <w:rPr>
                <w:lang w:val="en-US"/>
              </w:rPr>
              <w:t>oldevents.cleanup.hours</w:t>
            </w:r>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r w:rsidRPr="007C437D">
              <w:rPr>
                <w:lang w:val="en-US"/>
              </w:rPr>
              <w:t>oldevents.cleanup.</w:t>
            </w:r>
            <w:r>
              <w:rPr>
                <w:lang w:val="en-US"/>
              </w:rPr>
              <w:t>minutes</w:t>
            </w:r>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r w:rsidRPr="00183C4B">
              <w:rPr>
                <w:lang w:val="en-US"/>
              </w:rPr>
              <w:t>reload.schedule.hours</w:t>
            </w:r>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 xml:space="preserve">User information reloading </w:t>
            </w:r>
            <w:r>
              <w:rPr>
                <w:lang w:val="en-US"/>
              </w:rPr>
              <w:lastRenderedPageBreak/>
              <w:t>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r w:rsidRPr="00183C4B">
              <w:rPr>
                <w:lang w:val="en-US"/>
              </w:rPr>
              <w:t>reload.schedule.</w:t>
            </w:r>
            <w:r>
              <w:rPr>
                <w:lang w:val="en-US"/>
              </w:rPr>
              <w:t>minutes</w:t>
            </w:r>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r>
              <w:rPr>
                <w:lang w:val="en-US"/>
              </w:rPr>
              <w:t>filtering</w:t>
            </w:r>
            <w:r w:rsidR="00367F46" w:rsidRPr="00367F46">
              <w:rPr>
                <w:lang w:val="en-US"/>
              </w:rPr>
              <w:t>digest.schedule.hours</w:t>
            </w:r>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r>
              <w:rPr>
                <w:lang w:val="en-US"/>
              </w:rPr>
              <w:t>filtering</w:t>
            </w:r>
            <w:r w:rsidR="008E12DB" w:rsidRPr="00367F46">
              <w:rPr>
                <w:lang w:val="en-US"/>
              </w:rPr>
              <w:t>digest.schedule.</w:t>
            </w:r>
            <w:r w:rsidR="008E12DB">
              <w:rPr>
                <w:lang w:val="en-US"/>
              </w:rPr>
              <w:t>minutes</w:t>
            </w:r>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r>
              <w:rPr>
                <w:lang w:val="en-US"/>
              </w:rPr>
              <w:t>filtering</w:t>
            </w:r>
            <w:r w:rsidR="00E33C91" w:rsidRPr="00E33C91">
              <w:rPr>
                <w:lang w:val="en-US"/>
              </w:rPr>
              <w:t>digest.schedule.dayofweek</w:t>
            </w:r>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r>
              <w:rPr>
                <w:lang w:val="en-US"/>
              </w:rPr>
              <w:t>filtering</w:t>
            </w:r>
            <w:r w:rsidR="00572251" w:rsidRPr="00572251">
              <w:rPr>
                <w:lang w:val="en-US"/>
              </w:rPr>
              <w:t>digest.schedule.dayofmonth</w:t>
            </w:r>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r w:rsidRPr="00721744">
              <w:rPr>
                <w:lang w:val="en-US"/>
              </w:rPr>
              <w:t>default.am.delivery.zh</w:t>
            </w:r>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"Mon,Tue,Wed"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lastRenderedPageBreak/>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r w:rsidRPr="004E6822">
              <w:rPr>
                <w:lang w:val="en-US"/>
              </w:rPr>
              <w:t>hermes.env</w:t>
            </w:r>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r w:rsidRPr="002108DF">
              <w:rPr>
                <w:lang w:val="en-US"/>
              </w:rPr>
              <w:t>hermes.technical.user</w:t>
            </w:r>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r w:rsidRPr="004739AF">
              <w:rPr>
                <w:lang w:val="en-US"/>
              </w:rPr>
              <w:t>hermes.from.address</w:t>
            </w:r>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r w:rsidRPr="00720552">
              <w:rPr>
                <w:lang w:val="en-US"/>
              </w:rPr>
              <w:t>default.am.delivery.zh</w:t>
            </w:r>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r w:rsidRPr="002A2C77">
              <w:rPr>
                <w:lang w:val="en-US"/>
              </w:rPr>
              <w:t>arbiter.maxage.days</w:t>
            </w:r>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r w:rsidRPr="00396916">
              <w:rPr>
                <w:lang w:val="en-US"/>
              </w:rPr>
              <w:t>arbiter.cleanup.hours</w:t>
            </w:r>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r w:rsidRPr="00396916">
              <w:rPr>
                <w:lang w:val="en-US"/>
              </w:rPr>
              <w:t>arbiter.cleanup.</w:t>
            </w:r>
            <w:r>
              <w:rPr>
                <w:lang w:val="en-US"/>
              </w:rPr>
              <w:t>minutes</w:t>
            </w:r>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r w:rsidRPr="00F5284C">
              <w:rPr>
                <w:lang w:val="en-US"/>
              </w:rPr>
              <w:t>deliverylog.maxage.months</w:t>
            </w:r>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r w:rsidRPr="00B63530">
              <w:rPr>
                <w:lang w:val="en-US"/>
              </w:rPr>
              <w:t>deliverylog.cleanup.hours</w:t>
            </w:r>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r w:rsidRPr="00B63530">
              <w:rPr>
                <w:lang w:val="en-US"/>
              </w:rPr>
              <w:t>deliverylog.cleanup.</w:t>
            </w:r>
            <w:r>
              <w:rPr>
                <w:lang w:val="en-US"/>
              </w:rPr>
              <w:t>minutes</w:t>
            </w:r>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r w:rsidRPr="00F01488">
              <w:rPr>
                <w:lang w:val="en-US"/>
              </w:rPr>
              <w:t>oldevents.maxage.months</w:t>
            </w:r>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r w:rsidRPr="00383CF6">
              <w:rPr>
                <w:lang w:val="en-US"/>
              </w:rPr>
              <w:t>oldevents.cleanup.hours</w:t>
            </w:r>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r w:rsidRPr="00383CF6">
              <w:rPr>
                <w:lang w:val="en-US"/>
              </w:rPr>
              <w:t>oldevents.cleanup.</w:t>
            </w:r>
            <w:r>
              <w:rPr>
                <w:lang w:val="en-US"/>
              </w:rPr>
              <w:t>minutes</w:t>
            </w:r>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r w:rsidRPr="0026771F">
              <w:rPr>
                <w:lang w:val="en-US"/>
              </w:rPr>
              <w:t>reload.schedule.hours</w:t>
            </w:r>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r w:rsidRPr="0026771F">
              <w:rPr>
                <w:lang w:val="en-US"/>
              </w:rPr>
              <w:t>reload.schedule.</w:t>
            </w:r>
            <w:r>
              <w:rPr>
                <w:lang w:val="en-US"/>
              </w:rPr>
              <w:t>minutes</w:t>
            </w:r>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r w:rsidRPr="008E3DD5">
              <w:rPr>
                <w:lang w:val="en-US"/>
              </w:rPr>
              <w:t>dailydigest.schedule.hours</w:t>
            </w:r>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r w:rsidRPr="008E3DD5">
              <w:rPr>
                <w:lang w:val="en-US"/>
              </w:rPr>
              <w:t>dailydigest.schedule.</w:t>
            </w:r>
            <w:r>
              <w:rPr>
                <w:lang w:val="en-US"/>
              </w:rPr>
              <w:t>minutes</w:t>
            </w:r>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r w:rsidRPr="00A8070B">
              <w:rPr>
                <w:lang w:val="en-US"/>
              </w:rPr>
              <w:t>weeklydigest.schedule.dayofweek</w:t>
            </w:r>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r w:rsidRPr="003D4635">
              <w:rPr>
                <w:lang w:val="en-US"/>
              </w:rPr>
              <w:t>weeklydigest.schedule.hours</w:t>
            </w:r>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r w:rsidRPr="0074637C">
              <w:rPr>
                <w:lang w:val="en-US"/>
              </w:rPr>
              <w:t>weeklydigest.schedule.minutes</w:t>
            </w:r>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r w:rsidRPr="008426ED">
              <w:rPr>
                <w:lang w:val="en-US"/>
              </w:rPr>
              <w:t>monthlydigest.schedule.dayofmonth</w:t>
            </w:r>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r w:rsidRPr="0097163A">
              <w:rPr>
                <w:lang w:val="en-US"/>
              </w:rPr>
              <w:t>monthlydigest.schedule.hours</w:t>
            </w:r>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r w:rsidRPr="00B612E8">
              <w:rPr>
                <w:lang w:val="en-US"/>
              </w:rPr>
              <w:t>monthlydigest.schedule.minutes</w:t>
            </w:r>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r w:rsidRPr="00CB6657">
              <w:rPr>
                <w:lang w:val="en-US"/>
              </w:rPr>
              <w:t>subscription.link</w:t>
            </w:r>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0" w:name="_Toc60565146"/>
      <w:r>
        <w:rPr>
          <w:lang w:val="en-US"/>
        </w:rPr>
        <w:t>Web Service Configuration</w:t>
      </w:r>
      <w:bookmarkEnd w:id="10"/>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Web service for accepting event submissions from Cerebro will be automatically configure</w:t>
      </w:r>
      <w:r w:rsidR="00FA6F29">
        <w:rPr>
          <w:lang w:val="en-US"/>
        </w:rPr>
        <w:t>d upon deployment to Websphere.</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"ActivityService".</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sectPr w:rsidR="00FB4540" w:rsidSect="002844E1">
      <w:footerReference w:type="default" r:id="rId12"/>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DFA61" w14:textId="77777777" w:rsidR="00967BB2" w:rsidRDefault="00967BB2">
      <w:r>
        <w:separator/>
      </w:r>
    </w:p>
  </w:endnote>
  <w:endnote w:type="continuationSeparator" w:id="0">
    <w:p w14:paraId="31B07543" w14:textId="77777777" w:rsidR="00967BB2" w:rsidRDefault="0096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461CE4" w:rsidRDefault="00461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461CE4" w:rsidRDefault="00461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EA35B" w14:textId="77777777" w:rsidR="00967BB2" w:rsidRDefault="00967BB2">
      <w:r>
        <w:separator/>
      </w:r>
    </w:p>
  </w:footnote>
  <w:footnote w:type="continuationSeparator" w:id="0">
    <w:p w14:paraId="5BDFF1DA" w14:textId="77777777" w:rsidR="00967BB2" w:rsidRDefault="00967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ED56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2"/>
  </w:num>
  <w:num w:numId="14">
    <w:abstractNumId w:val="27"/>
  </w:num>
  <w:num w:numId="15">
    <w:abstractNumId w:val="30"/>
  </w:num>
  <w:num w:numId="16">
    <w:abstractNumId w:val="25"/>
  </w:num>
  <w:num w:numId="17">
    <w:abstractNumId w:val="22"/>
  </w:num>
  <w:num w:numId="18">
    <w:abstractNumId w:val="18"/>
  </w:num>
  <w:num w:numId="19">
    <w:abstractNumId w:val="16"/>
  </w:num>
  <w:num w:numId="20">
    <w:abstractNumId w:val="26"/>
  </w:num>
  <w:num w:numId="21">
    <w:abstractNumId w:val="34"/>
  </w:num>
  <w:num w:numId="22">
    <w:abstractNumId w:val="31"/>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3"/>
  </w:num>
  <w:num w:numId="34">
    <w:abstractNumId w:val="35"/>
  </w:num>
  <w:num w:numId="35">
    <w:abstractNumId w:val="12"/>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43C4"/>
    <w:rsid w:val="0004708F"/>
    <w:rsid w:val="00050D6C"/>
    <w:rsid w:val="000511A7"/>
    <w:rsid w:val="00051CB1"/>
    <w:rsid w:val="00052D38"/>
    <w:rsid w:val="00054615"/>
    <w:rsid w:val="00057394"/>
    <w:rsid w:val="00057C7F"/>
    <w:rsid w:val="0006003D"/>
    <w:rsid w:val="00062869"/>
    <w:rsid w:val="00064A1E"/>
    <w:rsid w:val="00080CD4"/>
    <w:rsid w:val="00082D08"/>
    <w:rsid w:val="000837D5"/>
    <w:rsid w:val="00085E36"/>
    <w:rsid w:val="00091E52"/>
    <w:rsid w:val="00097575"/>
    <w:rsid w:val="000A4982"/>
    <w:rsid w:val="000A5FF2"/>
    <w:rsid w:val="000A7226"/>
    <w:rsid w:val="000A7DD5"/>
    <w:rsid w:val="000B0065"/>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C17D6"/>
    <w:rsid w:val="001C187B"/>
    <w:rsid w:val="001C1D50"/>
    <w:rsid w:val="001C7093"/>
    <w:rsid w:val="001D11AC"/>
    <w:rsid w:val="001D1249"/>
    <w:rsid w:val="001D3AFF"/>
    <w:rsid w:val="001D51CB"/>
    <w:rsid w:val="001D54D6"/>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62F5"/>
    <w:rsid w:val="00282BD4"/>
    <w:rsid w:val="0028448F"/>
    <w:rsid w:val="002844E1"/>
    <w:rsid w:val="002857FB"/>
    <w:rsid w:val="00286A61"/>
    <w:rsid w:val="0029063F"/>
    <w:rsid w:val="002909C8"/>
    <w:rsid w:val="00291227"/>
    <w:rsid w:val="002921FC"/>
    <w:rsid w:val="00292233"/>
    <w:rsid w:val="00292897"/>
    <w:rsid w:val="00292B6A"/>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5736"/>
    <w:rsid w:val="00326646"/>
    <w:rsid w:val="00335B4C"/>
    <w:rsid w:val="00336499"/>
    <w:rsid w:val="0033744D"/>
    <w:rsid w:val="00341171"/>
    <w:rsid w:val="00345542"/>
    <w:rsid w:val="00345A08"/>
    <w:rsid w:val="0034642B"/>
    <w:rsid w:val="0034675B"/>
    <w:rsid w:val="003467E3"/>
    <w:rsid w:val="00347D1F"/>
    <w:rsid w:val="0035011C"/>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361"/>
    <w:rsid w:val="003925CD"/>
    <w:rsid w:val="00392DEE"/>
    <w:rsid w:val="0039343E"/>
    <w:rsid w:val="00393979"/>
    <w:rsid w:val="00396916"/>
    <w:rsid w:val="003A25DE"/>
    <w:rsid w:val="003B0691"/>
    <w:rsid w:val="003B0759"/>
    <w:rsid w:val="003B1FAB"/>
    <w:rsid w:val="003B26EC"/>
    <w:rsid w:val="003B3633"/>
    <w:rsid w:val="003B3A37"/>
    <w:rsid w:val="003B428D"/>
    <w:rsid w:val="003B4FB2"/>
    <w:rsid w:val="003C02AB"/>
    <w:rsid w:val="003C0527"/>
    <w:rsid w:val="003C260F"/>
    <w:rsid w:val="003C5F8E"/>
    <w:rsid w:val="003D0318"/>
    <w:rsid w:val="003D1215"/>
    <w:rsid w:val="003D2E84"/>
    <w:rsid w:val="003D4635"/>
    <w:rsid w:val="003D5D72"/>
    <w:rsid w:val="003D6F8C"/>
    <w:rsid w:val="003D7A6B"/>
    <w:rsid w:val="003E1C6B"/>
    <w:rsid w:val="003E2A55"/>
    <w:rsid w:val="003E3EB9"/>
    <w:rsid w:val="003E6222"/>
    <w:rsid w:val="003F02BC"/>
    <w:rsid w:val="003F2A55"/>
    <w:rsid w:val="003F303E"/>
    <w:rsid w:val="003F39A3"/>
    <w:rsid w:val="003F4923"/>
    <w:rsid w:val="003F506F"/>
    <w:rsid w:val="003F54A7"/>
    <w:rsid w:val="00400035"/>
    <w:rsid w:val="00407AA9"/>
    <w:rsid w:val="00412A6C"/>
    <w:rsid w:val="00414D56"/>
    <w:rsid w:val="00416A7A"/>
    <w:rsid w:val="00416E52"/>
    <w:rsid w:val="0041721A"/>
    <w:rsid w:val="004177B0"/>
    <w:rsid w:val="0041790D"/>
    <w:rsid w:val="00420677"/>
    <w:rsid w:val="004215FA"/>
    <w:rsid w:val="004218B1"/>
    <w:rsid w:val="0042227E"/>
    <w:rsid w:val="004235BE"/>
    <w:rsid w:val="00423CD9"/>
    <w:rsid w:val="00425628"/>
    <w:rsid w:val="004259BD"/>
    <w:rsid w:val="0042696E"/>
    <w:rsid w:val="00426D0C"/>
    <w:rsid w:val="004270A6"/>
    <w:rsid w:val="00430C6C"/>
    <w:rsid w:val="00431ADD"/>
    <w:rsid w:val="00437548"/>
    <w:rsid w:val="00437702"/>
    <w:rsid w:val="004427D1"/>
    <w:rsid w:val="004428B1"/>
    <w:rsid w:val="0044397F"/>
    <w:rsid w:val="00444159"/>
    <w:rsid w:val="0044453D"/>
    <w:rsid w:val="004454D5"/>
    <w:rsid w:val="0045054E"/>
    <w:rsid w:val="004528AA"/>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1236"/>
    <w:rsid w:val="004B4341"/>
    <w:rsid w:val="004B6A66"/>
    <w:rsid w:val="004C107E"/>
    <w:rsid w:val="004C3497"/>
    <w:rsid w:val="004C53C8"/>
    <w:rsid w:val="004D1FB9"/>
    <w:rsid w:val="004D207E"/>
    <w:rsid w:val="004D3922"/>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20E42"/>
    <w:rsid w:val="00520EA5"/>
    <w:rsid w:val="005217B6"/>
    <w:rsid w:val="0052620D"/>
    <w:rsid w:val="00530296"/>
    <w:rsid w:val="00530626"/>
    <w:rsid w:val="0053168A"/>
    <w:rsid w:val="0053270C"/>
    <w:rsid w:val="00533492"/>
    <w:rsid w:val="0053352E"/>
    <w:rsid w:val="00535882"/>
    <w:rsid w:val="00541EF2"/>
    <w:rsid w:val="00552FC0"/>
    <w:rsid w:val="00554DD6"/>
    <w:rsid w:val="00555D46"/>
    <w:rsid w:val="00560035"/>
    <w:rsid w:val="005613A9"/>
    <w:rsid w:val="0056444A"/>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5295"/>
    <w:rsid w:val="005A7176"/>
    <w:rsid w:val="005A7466"/>
    <w:rsid w:val="005B429F"/>
    <w:rsid w:val="005B44C6"/>
    <w:rsid w:val="005B78C1"/>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6B24"/>
    <w:rsid w:val="006D22CD"/>
    <w:rsid w:val="006D427C"/>
    <w:rsid w:val="006D528F"/>
    <w:rsid w:val="006D773D"/>
    <w:rsid w:val="006E0F5A"/>
    <w:rsid w:val="006E2AA0"/>
    <w:rsid w:val="006E3C84"/>
    <w:rsid w:val="006E44D1"/>
    <w:rsid w:val="006E5B19"/>
    <w:rsid w:val="006E7E66"/>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83329"/>
    <w:rsid w:val="007861F1"/>
    <w:rsid w:val="00787B0F"/>
    <w:rsid w:val="00790574"/>
    <w:rsid w:val="007918B2"/>
    <w:rsid w:val="0079434B"/>
    <w:rsid w:val="00794812"/>
    <w:rsid w:val="007973D7"/>
    <w:rsid w:val="007A112B"/>
    <w:rsid w:val="007A30DE"/>
    <w:rsid w:val="007A31FB"/>
    <w:rsid w:val="007A3DA0"/>
    <w:rsid w:val="007A4EB4"/>
    <w:rsid w:val="007A62A5"/>
    <w:rsid w:val="007B1BB5"/>
    <w:rsid w:val="007B2658"/>
    <w:rsid w:val="007B2A8B"/>
    <w:rsid w:val="007B446B"/>
    <w:rsid w:val="007B4DF5"/>
    <w:rsid w:val="007C15B2"/>
    <w:rsid w:val="007C28E6"/>
    <w:rsid w:val="007C2972"/>
    <w:rsid w:val="007C3165"/>
    <w:rsid w:val="007C437D"/>
    <w:rsid w:val="007C4E52"/>
    <w:rsid w:val="007C7432"/>
    <w:rsid w:val="007C7FCC"/>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3919"/>
    <w:rsid w:val="007F45FC"/>
    <w:rsid w:val="007F466B"/>
    <w:rsid w:val="007F6D03"/>
    <w:rsid w:val="007F73A5"/>
    <w:rsid w:val="00806020"/>
    <w:rsid w:val="008060C8"/>
    <w:rsid w:val="008075C6"/>
    <w:rsid w:val="0081113F"/>
    <w:rsid w:val="00814F6F"/>
    <w:rsid w:val="008174D9"/>
    <w:rsid w:val="00823423"/>
    <w:rsid w:val="008241CF"/>
    <w:rsid w:val="008259BB"/>
    <w:rsid w:val="00827986"/>
    <w:rsid w:val="00827E89"/>
    <w:rsid w:val="008365B8"/>
    <w:rsid w:val="00836AD0"/>
    <w:rsid w:val="00836EE4"/>
    <w:rsid w:val="008426ED"/>
    <w:rsid w:val="0084759A"/>
    <w:rsid w:val="00851F6A"/>
    <w:rsid w:val="00852526"/>
    <w:rsid w:val="00853ECA"/>
    <w:rsid w:val="008554E6"/>
    <w:rsid w:val="00864426"/>
    <w:rsid w:val="00864F14"/>
    <w:rsid w:val="00865FCA"/>
    <w:rsid w:val="00866CD3"/>
    <w:rsid w:val="00867A71"/>
    <w:rsid w:val="0087230B"/>
    <w:rsid w:val="0087797F"/>
    <w:rsid w:val="00877B07"/>
    <w:rsid w:val="0088125A"/>
    <w:rsid w:val="008839BB"/>
    <w:rsid w:val="00884496"/>
    <w:rsid w:val="00886A01"/>
    <w:rsid w:val="0088735E"/>
    <w:rsid w:val="00890239"/>
    <w:rsid w:val="00890B30"/>
    <w:rsid w:val="00891CCA"/>
    <w:rsid w:val="008A13D7"/>
    <w:rsid w:val="008A1A6F"/>
    <w:rsid w:val="008A4CC8"/>
    <w:rsid w:val="008A6528"/>
    <w:rsid w:val="008B08E7"/>
    <w:rsid w:val="008B20A1"/>
    <w:rsid w:val="008B3290"/>
    <w:rsid w:val="008B4796"/>
    <w:rsid w:val="008B4942"/>
    <w:rsid w:val="008C1D0E"/>
    <w:rsid w:val="008C35CD"/>
    <w:rsid w:val="008D12D7"/>
    <w:rsid w:val="008D19FA"/>
    <w:rsid w:val="008D1D4C"/>
    <w:rsid w:val="008D3614"/>
    <w:rsid w:val="008D5691"/>
    <w:rsid w:val="008D65F6"/>
    <w:rsid w:val="008D7830"/>
    <w:rsid w:val="008E12DB"/>
    <w:rsid w:val="008E3C42"/>
    <w:rsid w:val="008E3DD5"/>
    <w:rsid w:val="008E48EB"/>
    <w:rsid w:val="008F1ED9"/>
    <w:rsid w:val="008F32F4"/>
    <w:rsid w:val="008F3A58"/>
    <w:rsid w:val="008F5E88"/>
    <w:rsid w:val="00901949"/>
    <w:rsid w:val="00901A73"/>
    <w:rsid w:val="00901C43"/>
    <w:rsid w:val="009022F9"/>
    <w:rsid w:val="00902897"/>
    <w:rsid w:val="00903759"/>
    <w:rsid w:val="00903BA5"/>
    <w:rsid w:val="00904567"/>
    <w:rsid w:val="009062E6"/>
    <w:rsid w:val="00910A86"/>
    <w:rsid w:val="009163C1"/>
    <w:rsid w:val="00920DC6"/>
    <w:rsid w:val="00922C9E"/>
    <w:rsid w:val="009244D3"/>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67BB2"/>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6D07"/>
    <w:rsid w:val="00A70CEB"/>
    <w:rsid w:val="00A70EEB"/>
    <w:rsid w:val="00A7208B"/>
    <w:rsid w:val="00A7382F"/>
    <w:rsid w:val="00A75DA9"/>
    <w:rsid w:val="00A76D67"/>
    <w:rsid w:val="00A77A4E"/>
    <w:rsid w:val="00A80453"/>
    <w:rsid w:val="00A8070B"/>
    <w:rsid w:val="00A80791"/>
    <w:rsid w:val="00A8137B"/>
    <w:rsid w:val="00A81BCC"/>
    <w:rsid w:val="00A825A1"/>
    <w:rsid w:val="00A84084"/>
    <w:rsid w:val="00A84978"/>
    <w:rsid w:val="00A86A7E"/>
    <w:rsid w:val="00A87951"/>
    <w:rsid w:val="00A907F7"/>
    <w:rsid w:val="00A94BB1"/>
    <w:rsid w:val="00A96EB6"/>
    <w:rsid w:val="00A97841"/>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2A88"/>
    <w:rsid w:val="00C24DC0"/>
    <w:rsid w:val="00C26216"/>
    <w:rsid w:val="00C26FA8"/>
    <w:rsid w:val="00C27FB0"/>
    <w:rsid w:val="00C30E14"/>
    <w:rsid w:val="00C319DF"/>
    <w:rsid w:val="00C32592"/>
    <w:rsid w:val="00C32A13"/>
    <w:rsid w:val="00C32C79"/>
    <w:rsid w:val="00C3365B"/>
    <w:rsid w:val="00C35721"/>
    <w:rsid w:val="00C422BC"/>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D01AD7"/>
    <w:rsid w:val="00D01D78"/>
    <w:rsid w:val="00D0317E"/>
    <w:rsid w:val="00D04703"/>
    <w:rsid w:val="00D05EBE"/>
    <w:rsid w:val="00D07AC9"/>
    <w:rsid w:val="00D07E71"/>
    <w:rsid w:val="00D11A6C"/>
    <w:rsid w:val="00D11DE4"/>
    <w:rsid w:val="00D12352"/>
    <w:rsid w:val="00D16855"/>
    <w:rsid w:val="00D16C93"/>
    <w:rsid w:val="00D2038F"/>
    <w:rsid w:val="00D203B4"/>
    <w:rsid w:val="00D21035"/>
    <w:rsid w:val="00D21CFF"/>
    <w:rsid w:val="00D23ED3"/>
    <w:rsid w:val="00D27850"/>
    <w:rsid w:val="00D307E2"/>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B12AA"/>
    <w:rsid w:val="00DB1E63"/>
    <w:rsid w:val="00DB595E"/>
    <w:rsid w:val="00DB6525"/>
    <w:rsid w:val="00DC23B8"/>
    <w:rsid w:val="00DC3014"/>
    <w:rsid w:val="00DD2D24"/>
    <w:rsid w:val="00DD3AF2"/>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2D9E"/>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2A7A"/>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2D49"/>
    <w:rsid w:val="00EE4B59"/>
    <w:rsid w:val="00EE6C4B"/>
    <w:rsid w:val="00EF49BE"/>
    <w:rsid w:val="00F0035C"/>
    <w:rsid w:val="00F01488"/>
    <w:rsid w:val="00F01F7A"/>
    <w:rsid w:val="00F02D02"/>
    <w:rsid w:val="00F03708"/>
    <w:rsid w:val="00F077F1"/>
    <w:rsid w:val="00F10910"/>
    <w:rsid w:val="00F10967"/>
    <w:rsid w:val="00F114BE"/>
    <w:rsid w:val="00F14B5C"/>
    <w:rsid w:val="00F15165"/>
    <w:rsid w:val="00F15366"/>
    <w:rsid w:val="00F15B99"/>
    <w:rsid w:val="00F246EB"/>
    <w:rsid w:val="00F24DA1"/>
    <w:rsid w:val="00F25CD1"/>
    <w:rsid w:val="00F26401"/>
    <w:rsid w:val="00F27BF9"/>
    <w:rsid w:val="00F30F67"/>
    <w:rsid w:val="00F3307C"/>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1233"/>
    <w:rsid w:val="00FA1570"/>
    <w:rsid w:val="00FA6527"/>
    <w:rsid w:val="00FA6F29"/>
    <w:rsid w:val="00FB05CB"/>
    <w:rsid w:val="00FB1CBE"/>
    <w:rsid w:val="00FB207D"/>
    <w:rsid w:val="00FB4540"/>
    <w:rsid w:val="00FB6746"/>
    <w:rsid w:val="00FB7153"/>
    <w:rsid w:val="00FB7B6E"/>
    <w:rsid w:val="00FC059E"/>
    <w:rsid w:val="00FC0E2F"/>
    <w:rsid w:val="00FC250F"/>
    <w:rsid w:val="00FC4EC6"/>
    <w:rsid w:val="00FC5C3D"/>
    <w:rsid w:val="00FC7DCD"/>
    <w:rsid w:val="00FD0A75"/>
    <w:rsid w:val="00FD1FB0"/>
    <w:rsid w:val="00FD2388"/>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02796-2317-3C41-A7C3-116743B0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40</TotalTime>
  <Pages>12</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11577</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43</cp:revision>
  <cp:lastPrinted>2012-09-24T15:26:00Z</cp:lastPrinted>
  <dcterms:created xsi:type="dcterms:W3CDTF">2021-01-03T09:08:00Z</dcterms:created>
  <dcterms:modified xsi:type="dcterms:W3CDTF">2021-01-03T10:36:00Z</dcterms:modified>
</cp:coreProperties>
</file>