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jc w:val="center"/>
      </w:pPr>
      <w:r>
        <w:rPr>
          <w:rFonts w:ascii="Arial" w:hAnsi="Arial" w:eastAsia="Arial"/>
          <w:b/>
          <w:color w:val="EF6924"/>
          <w:sz w:val="32"/>
        </w:rPr>
        <w:t>Duoc UC  |  INSTITUTO PROFESIONAL</w:t>
      </w:r>
    </w:p>
    <w:p>
      <w:pPr>
        <w:spacing w:line="360" w:lineRule="auto" w:before="0" w:after="40"/>
        <w:jc w:val="center"/>
      </w:pPr>
      <w:r>
        <w:rPr>
          <w:rFonts w:ascii="Arial" w:hAnsi="Arial" w:eastAsia="Arial"/>
          <w:b/>
          <w:color w:val="182B46"/>
          <w:sz w:val="36"/>
        </w:rPr>
        <w:t>INFORME DE SEGURIDAD Y CALIDAD</w:t>
      </w:r>
    </w:p>
    <w:p>
      <w:pPr>
        <w:spacing w:line="360" w:lineRule="auto" w:before="0" w:after="200"/>
        <w:jc w:val="center"/>
      </w:pPr>
      <w:r>
        <w:rPr>
          <w:rFonts w:ascii="Arial" w:hAnsi="Arial" w:eastAsia="Arial"/>
          <w:b/>
          <w:color w:val="182B46"/>
          <w:sz w:val="32"/>
        </w:rPr>
        <w:t>EN EL DESARROLLO DE SOFTWARE</w:t>
      </w:r>
    </w:p>
    <w:p>
      <w:pPr>
        <w:spacing w:line="360" w:lineRule="auto" w:before="0" w:after="160"/>
        <w:jc w:val="center"/>
      </w:pPr>
      <w:r>
        <w:rPr>
          <w:rFonts w:ascii="Arial" w:hAnsi="Arial" w:eastAsia="Arial"/>
          <w:b/>
          <w:sz w:val="24"/>
        </w:rPr>
        <w:t>Atlas — gestión de clientes, contratos y documentos</w:t>
      </w:r>
    </w:p>
    <w:p>
      <w:pPr>
        <w:spacing w:line="360" w:lineRule="auto" w:before="0" w:after="40"/>
        <w:jc w:val="center"/>
      </w:pPr>
      <w:r>
        <w:rPr>
          <w:rFonts w:ascii="Arial" w:hAnsi="Arial" w:eastAsia="Arial"/>
          <w:b w:val="0"/>
          <w:sz w:val="22"/>
        </w:rPr>
        <w:t>ISY1102 - Seguridad y Calidad en el Desarrollo de Software</w:t>
      </w:r>
    </w:p>
    <w:p>
      <w:pPr>
        <w:spacing w:line="360" w:lineRule="auto" w:before="0" w:after="160"/>
        <w:jc w:val="center"/>
      </w:pPr>
      <w:r>
        <w:rPr>
          <w:rFonts w:ascii="Arial" w:hAnsi="Arial" w:eastAsia="Arial"/>
          <w:b w:val="0"/>
          <w:sz w:val="22"/>
        </w:rPr>
        <w:t>Sección: ISY1102</w:t>
      </w:r>
    </w:p>
    <w:p>
      <w:pPr>
        <w:spacing w:line="360" w:lineRule="auto" w:before="0" w:after="40"/>
        <w:jc w:val="center"/>
      </w:pPr>
      <w:r>
        <w:rPr>
          <w:rFonts w:ascii="Arial" w:hAnsi="Arial" w:eastAsia="Arial"/>
          <w:b/>
          <w:color w:val="182B46"/>
          <w:sz w:val="24"/>
        </w:rPr>
        <w:t>Integrantes</w:t>
      </w:r>
    </w:p>
    <w:p>
      <w:pPr>
        <w:spacing w:line="360" w:lineRule="auto" w:before="0" w:after="20"/>
        <w:jc w:val="center"/>
      </w:pPr>
      <w:r>
        <w:rPr>
          <w:rFonts w:ascii="Arial" w:hAnsi="Arial" w:eastAsia="Arial"/>
          <w:b w:val="0"/>
          <w:sz w:val="22"/>
        </w:rPr>
        <w:t>Alison Aranda</w:t>
      </w:r>
    </w:p>
    <w:p>
      <w:pPr>
        <w:spacing w:line="360" w:lineRule="auto" w:before="0" w:after="20"/>
        <w:jc w:val="center"/>
      </w:pPr>
      <w:r>
        <w:rPr>
          <w:rFonts w:ascii="Arial" w:hAnsi="Arial" w:eastAsia="Arial"/>
          <w:b w:val="0"/>
          <w:sz w:val="22"/>
        </w:rPr>
        <w:t>Macarena Muñoz</w:t>
      </w:r>
    </w:p>
    <w:p>
      <w:pPr>
        <w:spacing w:line="360" w:lineRule="auto" w:before="0" w:after="20"/>
        <w:jc w:val="center"/>
      </w:pPr>
      <w:r>
        <w:rPr>
          <w:rFonts w:ascii="Arial" w:hAnsi="Arial" w:eastAsia="Arial"/>
          <w:b w:val="0"/>
          <w:sz w:val="22"/>
        </w:rPr>
        <w:t>Camilo Romero</w:t>
      </w:r>
    </w:p>
    <w:p>
      <w:pPr>
        <w:spacing w:line="360" w:lineRule="auto" w:before="160" w:after="120"/>
        <w:jc w:val="center"/>
      </w:pPr>
      <w:r>
        <w:rPr>
          <w:rFonts w:ascii="Arial" w:hAnsi="Arial" w:eastAsia="Arial"/>
          <w:b w:val="0"/>
          <w:sz w:val="22"/>
        </w:rPr>
        <w:t>Carrera: Ingeniería en Informática - Desarrollo de software</w:t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 w:val="0"/>
          <w:sz w:val="22"/>
        </w:rPr>
        <w:t>Docente: Mauricio Velásquez</w:t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 w:val="0"/>
          <w:sz w:val="22"/>
        </w:rPr>
        <w:t>Fecha: 17 de octubre de 2026</w:t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 w:val="0"/>
          <w:sz w:val="22"/>
        </w:rPr>
        <w:t>Documento de referencia: ERS Atlas v1.1 (EP1_ISY1102_Estudiante_ERS_A) y ejecución local Docker.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Índice</w:t>
      </w:r>
    </w:p>
    <w:p>
      <w:pPr>
        <w:spacing w:line="360" w:lineRule="auto" w:before="0" w:after="40"/>
        <w:jc w:val="both"/>
      </w:pPr>
      <w:r>
        <w:rPr>
          <w:rFonts w:ascii="Arial" w:hAnsi="Arial" w:eastAsia="Arial"/>
          <w:b/>
          <w:color w:val="182B46"/>
          <w:sz w:val="24"/>
        </w:rPr>
        <w:t>1. Introducción</w:t>
      </w:r>
    </w:p>
    <w:p>
      <w:pPr>
        <w:spacing w:line="360" w:lineRule="auto" w:before="0" w:after="40"/>
        <w:jc w:val="both"/>
      </w:pPr>
      <w:r>
        <w:rPr>
          <w:rFonts w:ascii="Arial" w:hAnsi="Arial" w:eastAsia="Arial"/>
          <w:b/>
          <w:color w:val="182B46"/>
          <w:sz w:val="24"/>
        </w:rPr>
        <w:t>2. Criterios de calidad, seguridad y cumplimiento</w:t>
      </w:r>
    </w:p>
    <w:p>
      <w:pPr>
        <w:spacing w:line="360" w:lineRule="auto" w:before="0" w:after="40"/>
        <w:jc w:val="both"/>
      </w:pPr>
      <w:r>
        <w:rPr>
          <w:rFonts w:ascii="Arial" w:hAnsi="Arial" w:eastAsia="Arial"/>
          <w:b/>
          <w:color w:val="182B46"/>
          <w:sz w:val="24"/>
        </w:rPr>
        <w:t>3. Plan de pruebas</w:t>
      </w:r>
    </w:p>
    <w:p>
      <w:pPr>
        <w:spacing w:line="360" w:lineRule="auto" w:before="0" w:after="40"/>
        <w:jc w:val="both"/>
      </w:pPr>
      <w:r>
        <w:rPr>
          <w:rFonts w:ascii="Arial" w:hAnsi="Arial" w:eastAsia="Arial"/>
          <w:b/>
          <w:color w:val="182B46"/>
          <w:sz w:val="24"/>
        </w:rPr>
        <w:t>4. Diseño de casos de prueba</w:t>
      </w:r>
    </w:p>
    <w:p>
      <w:pPr>
        <w:spacing w:line="360" w:lineRule="auto" w:before="0" w:after="40"/>
        <w:jc w:val="both"/>
      </w:pPr>
      <w:r>
        <w:rPr>
          <w:rFonts w:ascii="Arial" w:hAnsi="Arial" w:eastAsia="Arial"/>
          <w:b/>
          <w:color w:val="182B46"/>
          <w:sz w:val="24"/>
        </w:rPr>
        <w:t>5. Análisis estático del código fuente</w:t>
      </w:r>
    </w:p>
    <w:p>
      <w:pPr>
        <w:spacing w:line="360" w:lineRule="auto" w:before="0" w:after="40"/>
        <w:jc w:val="both"/>
      </w:pPr>
      <w:r>
        <w:rPr>
          <w:rFonts w:ascii="Arial" w:hAnsi="Arial" w:eastAsia="Arial"/>
          <w:b/>
          <w:color w:val="182B46"/>
          <w:sz w:val="24"/>
        </w:rPr>
        <w:t>6. Ejecución de pruebas</w:t>
      </w:r>
    </w:p>
    <w:p>
      <w:pPr>
        <w:spacing w:line="360" w:lineRule="auto" w:before="0" w:after="40"/>
        <w:jc w:val="both"/>
      </w:pPr>
      <w:r>
        <w:rPr>
          <w:rFonts w:ascii="Arial" w:hAnsi="Arial" w:eastAsia="Arial"/>
          <w:b/>
          <w:color w:val="182B46"/>
          <w:sz w:val="24"/>
        </w:rPr>
        <w:t>7. Análisis ético y normativo de los resultados</w:t>
      </w:r>
    </w:p>
    <w:p>
      <w:pPr>
        <w:spacing w:line="360" w:lineRule="auto" w:before="0" w:after="40"/>
        <w:jc w:val="both"/>
      </w:pPr>
      <w:r>
        <w:rPr>
          <w:rFonts w:ascii="Arial" w:hAnsi="Arial" w:eastAsia="Arial"/>
          <w:b/>
          <w:color w:val="182B46"/>
          <w:sz w:val="24"/>
        </w:rPr>
        <w:t>8. Propuesta de mejora</w:t>
      </w:r>
    </w:p>
    <w:p>
      <w:pPr>
        <w:spacing w:line="360" w:lineRule="auto" w:before="0" w:after="40"/>
        <w:jc w:val="both"/>
      </w:pPr>
      <w:r>
        <w:rPr>
          <w:rFonts w:ascii="Arial" w:hAnsi="Arial" w:eastAsia="Arial"/>
          <w:b/>
          <w:color w:val="182B46"/>
          <w:sz w:val="24"/>
        </w:rPr>
        <w:t>9. Conclusiones</w:t>
      </w:r>
    </w:p>
    <w:p>
      <w:pPr>
        <w:spacing w:line="360" w:lineRule="auto" w:before="0" w:after="40"/>
        <w:jc w:val="both"/>
      </w:pPr>
      <w:r>
        <w:rPr>
          <w:rFonts w:ascii="Arial" w:hAnsi="Arial" w:eastAsia="Arial"/>
          <w:b/>
          <w:color w:val="182B46"/>
          <w:sz w:val="24"/>
        </w:rPr>
        <w:t>10. Anexos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1. Introducción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1.1 Contexto del software a evaluar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El software bajo prueba es Atlas, plataforma web de CreaLab Spa para que una pyme gestione clientes, contratos y documentos. El ERS v1.1 (Roberto Araya, 13-04-2026) fija el alcance: usuarios de una empresa, roles administrador y editor, auditoría y cumplimiento de protección de datos.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La EP01 diseñó el plan. Esta EP3 ejecuta ese plan sobre el código local de Atlas (React 19, Express 4.19 y PostgreSQL 16), levantado con Docker. La API de Alumnos del laboratorio de calidad no es el sistema evaluado.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1.2 Arquitectura y módulos críticos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Riesgo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Frontend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SPA React: login, clientes, contratos, auditoría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Usabilidad y exposición de acciones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API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Express, JWT, RBAC y validación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Escritura de un editor si el control queda solo en pantalla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Datos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PostgreSQL y storage de documentos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Datos de contacto y bancarios; pérdida del archivo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Auditoría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Registro de acciones críticas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Sin evidencia legal de altas, bajas y descargas</w:t>
            </w:r>
          </w:p>
        </w:tc>
      </w:tr>
    </w:tbl>
    <w:p/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Endpoints críticos: POST /api/auth/login, POST y DELETE /api/empresas/:id/clients, POST /api/contratos/:id/documentos y GET /api/empresas/:id/auditoria.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1.3 Propósito del plan de pruebas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Demostrar que Atlas cumple los requisitos del ERS antes de considerarlo apto para un ambiente productivo: autenticación, control de acceso en el backend, baja lógica, documentos con referencia en base de datos y auditoría.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1.4 Alcance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Dentro del alcance: RF-1 a RF-6, RB-1 a RB-5 y los controles de seguridad que el código local implementa (bcrypt, cifrado en reposo, consultas parametrizadas, cabeceras y RBAC).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Fuera de esta ejecución: prueba formal con cinco adultos mayores, medición de disponibilidad 99,5 % mensual, correo de verificación, SonarQube y TLS fuera de localhost. La carga de 200 usuarios sí se ejecutó: el resultado no cumple el p95 de 300 ms y queda como incidente, no como requisito aprobado.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1.5 Objetivos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1. Verificar el login de jperez y el rechazo de una contraseña incorrecta (RF-1.1).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2. Comprobar que editor1 recibe 403 al crear o eliminar clientes (RB-4, NFR-SEG-4).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3. Comprobar la baja lógica con confirmación de negocio y su registro de auditoría (RF-4.2, RF-6.1).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4. Adjuntar un documento al contrato CT-0012 y generar un enlace temporal (RF-5).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5. Dejar evidencia con fecha, resultado y ejecutor.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1.6 Estructura del informe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Criterios, plan, casos, análisis estático, ejecución, ética, mejoras, conclusiones y anexos.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1.7 Ajustes respecto de la EP01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EP01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Ajuste EP3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Sección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Plan sobre Atlas, sin ejecución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 ejecuta el código local de Atlas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 y 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Casos CP-FUN, CP-SEG y CP-INT definidos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 corren contra la API en Docker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 y 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Matriz requisito-caso pendiente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Cada RF ejecutado apunta a un caso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4.2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Ética declarada en criterios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 informa también lo que no se ejecutó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2. Criterios de calidad, seguridad y cumplimiento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2.1 Calidad (ISO/IEC 25010)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Criterio en Atlas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Funcionalidad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Login 200, contraseña mala 401, CRUD de clientes y estado del contrato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Seguridad de acceso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Editor no escribe. Administrador sí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Integridad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Baja lógica: el registro no se borra físicamente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Trazabilidad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Auditoría de crear, eliminar, subir y compartir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2.2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NFR-SEG-2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Contraseña con bcrypt, costo 12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NFR-SEG-3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Contacto y datos bancarios cifrados en reposo (AES-256-GCM)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NFR-SEG-4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Rol evaluado en el backend en cada escritura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NFR-SEG-5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Consultas parametrizadas y tipos de archivo limitados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NFR-SEG-9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JWT de 15 minutos y refresh revocable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2.3 Cumplimiento normativo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Marco</w:t>
            </w:r>
          </w:p>
        </w:tc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Aplicación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Ley 19.628 / 21.719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Datos de clientes y datos bancarios solo de prueba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Ley 21.663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Control de acceso, cifrado y registro de acciones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Ley 20.422 / WCAG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Textos legibles, contraste y botones de 48 px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ISO 25010 / 29119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Criterios y casos trazados al ERS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3. Plan de pruebas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3.1 Estrategia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Enfoque mixto. La API se prueba con solicitudes HTTP repetibles. La pantalla se revisa para la confirmación de la baja y el recorrido cliente y luego contrato (NFR-USAB-4). La prioridad es autenticación y RBAC, después clientes y contratos, y al final la carga de 200 usuarios, el análisis de dependencias y el escaneo de la pantalla.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3.2 Tipos de prueba, origen e impacto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Impacto si se omite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Funcional de login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RF-1.1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No se sabe si la sesión nace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Seguridad RBAC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RB-4 y NFR-SEG-4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editor escribe por API aunque la pantalla lo oculte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Funcional de baja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RF-4.2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 borra el cliente de verdad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Integración de documento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RF-5.2, RF-5.3 y RF-6.1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archivo se ve y no queda referencia ni auditoría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Rendimiento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NFR-PERF-1 y NFR-PERF-3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No se acredita el p95 ni los 200 usuarios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Usabilidad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NFR-USAB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flujo no sirve a adultos mayores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3.3 Criterios de aceptación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Login válido en 200. Contraseña inválida en 401. Escritura del editor en 403. Baja lógica que desaparece del listado y queda en auditoría. Documento aceptado solo en PDF, DOC, PPT, JPG o PNG, guardado fuera de la base y referenciado. Cada caso con evidencia.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3.4 Herramientas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Docker Compose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PostgreSQL, API y pantalla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Cliente HTTP y probar.ps1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Casos de login, RBAC, baja y documento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k6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200 usuarios sobre el listado de clientes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npm audit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Dependencias de la API dentro del contenedor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Trivy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Imagen atlas-api: sistema y paquetes Node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OWASP ZAP baseline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Pantalla en http://localhost:8080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Swagger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http://localhost:3010/api/docs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Revisión de código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Consultas parametrizadas, bcrypt y RBAC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3.5 Recursos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Alison Aranda, Macarena Muñoz y Camilo Romero. Docker Desktop. Usuarios de prueba jperez y editor1. El puerto público de la API es 3010 porque el 3000 estaba ocupado por otro proyecto.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3.6 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Levantar Docker y login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Camilo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RBAC 403 y baja lógica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Alison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Documento, enlace y auditoría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Macarena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Informe y defensa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Grupo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4. Diseño de casos de prueba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CP-FUN-01 Login válido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Requisito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RF-1.1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Pasos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POST /api/auth/login con jperez y Clave#Segura2026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HTTP 200 y token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CP-FUN-02 Baja 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Requisito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RF-4.2, RF-6.1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Pasos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DELETE de un cliente con el administrador y confirmación en la pantalla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eliminacion logica y fila de auditoría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CP-INT-01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Requisito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RF-5.2, RF-5.3, RF-5.5, RF-6.1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Pasos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Subir archivo al contrato CT-0012 y pedir enlace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HTTP 201, referencia y URL temporal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CP-SEG-01 Editor sin escritura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Requisito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NFR-SEG-4, RB-4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Pasos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POST y DELETE de clientes con editor1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HTTP 403 en ambos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CP-PERF-01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Requisito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NFR-PERF-1, NFR-PERF-3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Pasos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Listado con 200 usuarios durante 20 s y p95 menor a 300 ms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0 % de error y p95 de 1,28 s. No cumple el tiempo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CP-USA-01 Recorrido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Requisito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NFR-USAB-4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Pasos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Entrar a un cliente y desde ahí ver sus contratos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Implementado en la pantalla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4.1 Resumen de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Qué valida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CP-FUN-01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Funcional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Sesión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CP-FUN-02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Funcional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Baja lógica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CP-INT-01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Integración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Documento y enlace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CP-SEG-01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Seguridad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Rol editor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CP-PERF-01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Rendimiento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Ejecutado: p95 1,28 s, no cumple 300 ms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CP-USA-01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Usabilidad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Cliente y luego contrato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4.2 Matriz requisito y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Resultado 17-10-2026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RF-1.1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CP-FUN-01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RF-1.2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Logout de la misma sesión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RF-4.1 y RF-4.2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CP-FUN-02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RF-5.1 a RF-5.5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CP-INT-01 y CT-0012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Aprobado en el contrato sembrado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RF-6.1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Auditoría de la corrida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RB-4 y NFR-SEG-4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CP-SEG-01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Aprobado, 403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NFR-PERF-3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CP-PERF-01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Ejecutado. 0 % de error. p95 1,28 s. No cumple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NFR-SEG-1 TLS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Despliegue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HTTP solo en localhost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5. Análisis estático del código fuente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5.1 Herramientas y alcance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Se revisó el código de codigo/atlas/api/src/index.js y el esquema SQL. Sobre esa lectura se ejecutaron npm audit dentro del contenedor de la API y Trivy sobre la imagen atlas-api. SonarQube no está instalado en este equipo y no se declara como resultado. OWASP ZAP se corrió contra la pantalla encendida y se informa en la sección 6, porque es una prueba dinámica.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5.2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36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2436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Norma</w:t>
            </w:r>
          </w:p>
        </w:tc>
        <w:tc>
          <w:tcPr>
            <w:tcW w:type="dxa" w:w="2436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AST-01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Las escrituras pasan por exigirEscritura y responden 403 al editor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NFR-SEG-4, RB-4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Cumple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AST-02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Las consultas usan parámetros $1, $2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NFR-SEG-5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Cumple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AST-03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La contraseña se guarda con bcrypt y el contacto con AES-GCM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NFR-SEG-2, NFR-SEG-3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Cumple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AST-04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log de la API no imprime el cuerpo ni la contraseña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NFR-SEG-6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Cumple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AST-05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npm audit: 7 hallazgos (3 altos, 1 moderado, 3 bajos) en Express 4.19.2 y dependencias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Ley 21.663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Abierto, INC-05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AST-06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Trivy: Alpine 1 media (zlib). Paquetes Node de la imagen: 25 altos, 11 medios, 0 críticos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Ley 21.663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Abierto, INC-05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5.3 Contraste con la revisión dinámica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El 403 del editor no se dedujo solo del código: la solicitud HTTP lo confirmó. La baja lógica del código coincide con el 404 posterior y con la fila de auditoría. npm audit y Trivy leen dependencias e imagen; ZAP observa la pantalla ya publicada. Son herramientas distintas y no se sustituyen entre sí.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6. Ejecución de pruebas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6.1 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Casos diseñados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Ejecutados con evidencia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5, más logout, auditoría, npm audit, Trivy y ZAP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Aprobados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CP-FUN-01, CP-FUN-02, CP-INT-01, CP-SEG-01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Ejecutado y no aprobado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CP-PERF-01: p95 1,28 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Ambiente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Docker, API en localhost:3010, pantalla en localhost:8080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Fecha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17 de octubre de 2026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6.2 Detalle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CP-FUN-01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200 y token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Figura 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CP-SEG-01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403 en POST y en DELETE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Figura 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CP-FUN-02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Baja lógica y 404 posterior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Figura 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CP-INT-01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201, storage y enlace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Figura 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RF-6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Filas de crear, eliminar, subir y compartir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Figura 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CP-PERF-01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4428 peticiones, 0 % de error, p95 1,28 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Figura 6, INC-02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npm audit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7 hallazgos, 3 altos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Figura 7, INC-05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Trivy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 críticas en Alpine; 25 altos en paquetes Node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Figura 8, INC-05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ZAP baseline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 fallos nuevos, 8 avisos, 59 en orden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Figura 9, INC-06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676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 w:val="0"/>
          <w:color w:val="646B73"/>
          <w:sz w:val="20"/>
        </w:rPr>
        <w:t>Figura 1. Login de jperez.</w:t>
      </w:r>
    </w:p>
    <w:p>
      <w:r>
        <w:drawing>
          <wp:inline xmlns:a="http://schemas.openxmlformats.org/drawingml/2006/main" xmlns:pic="http://schemas.openxmlformats.org/drawingml/2006/picture">
            <wp:extent cx="5580000" cy="3676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pi_editor_post_4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 w:val="0"/>
          <w:color w:val="646B73"/>
          <w:sz w:val="20"/>
        </w:rPr>
        <w:t>Figura 2. El editor no puede escribir.</w:t>
      </w:r>
    </w:p>
    <w:p>
      <w:r>
        <w:drawing>
          <wp:inline xmlns:a="http://schemas.openxmlformats.org/drawingml/2006/main" xmlns:pic="http://schemas.openxmlformats.org/drawingml/2006/picture">
            <wp:extent cx="5580000" cy="4546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irmacion_baj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46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 w:val="0"/>
          <w:color w:val="646B73"/>
          <w:sz w:val="20"/>
        </w:rPr>
        <w:t>Figura 3. Baja lógica.</w:t>
      </w:r>
    </w:p>
    <w:p>
      <w:r>
        <w:drawing>
          <wp:inline xmlns:a="http://schemas.openxmlformats.org/drawingml/2006/main" xmlns:pic="http://schemas.openxmlformats.org/drawingml/2006/picture">
            <wp:extent cx="5580000" cy="3676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trato_CT-00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 w:val="0"/>
          <w:color w:val="646B73"/>
          <w:sz w:val="20"/>
        </w:rPr>
        <w:t>Figura 4. Documento del contrato CT-0012.</w:t>
      </w:r>
    </w:p>
    <w:p>
      <w:r>
        <w:drawing>
          <wp:inline xmlns:a="http://schemas.openxmlformats.org/drawingml/2006/main" xmlns:pic="http://schemas.openxmlformats.org/drawingml/2006/picture">
            <wp:extent cx="5580000" cy="3676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udito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 w:val="0"/>
          <w:color w:val="646B73"/>
          <w:sz w:val="20"/>
        </w:rPr>
        <w:t>Figura 5. Auditoría de la corrida.</w:t>
      </w:r>
    </w:p>
    <w:p>
      <w:r>
        <w:drawing>
          <wp:inline xmlns:a="http://schemas.openxmlformats.org/drawingml/2006/main" xmlns:pic="http://schemas.openxmlformats.org/drawingml/2006/picture">
            <wp:extent cx="5580000" cy="31862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k6_200_usuar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 w:val="0"/>
          <w:color w:val="646B73"/>
          <w:sz w:val="20"/>
        </w:rPr>
        <w:t>Figura 6. k6: 200 usuarios, p95 de 1,28 s.</w:t>
      </w:r>
    </w:p>
    <w:p>
      <w:r>
        <w:drawing>
          <wp:inline xmlns:a="http://schemas.openxmlformats.org/drawingml/2006/main" xmlns:pic="http://schemas.openxmlformats.org/drawingml/2006/picture">
            <wp:extent cx="5580000" cy="31862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pm_au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 w:val="0"/>
          <w:color w:val="646B73"/>
          <w:sz w:val="20"/>
        </w:rPr>
        <w:t>Figura 7. npm audit de la API.</w:t>
      </w:r>
    </w:p>
    <w:p>
      <w:r>
        <w:drawing>
          <wp:inline xmlns:a="http://schemas.openxmlformats.org/drawingml/2006/main" xmlns:pic="http://schemas.openxmlformats.org/drawingml/2006/picture">
            <wp:extent cx="5580000" cy="31862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riv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 w:val="0"/>
          <w:color w:val="646B73"/>
          <w:sz w:val="20"/>
        </w:rPr>
        <w:t>Figura 8. Trivy sobre la imagen atlas-api.</w:t>
      </w:r>
    </w:p>
    <w:p>
      <w:r>
        <w:drawing>
          <wp:inline xmlns:a="http://schemas.openxmlformats.org/drawingml/2006/main" xmlns:pic="http://schemas.openxmlformats.org/drawingml/2006/picture">
            <wp:extent cx="5580000" cy="31862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z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Arial" w:hAnsi="Arial" w:eastAsia="Arial"/>
          <w:b w:val="0"/>
          <w:color w:val="646B73"/>
          <w:sz w:val="20"/>
        </w:rPr>
        <w:t>Figura 9. OWASP ZAP sobre la pantalla.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6.3 Incidentes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36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2436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436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INC-01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Moderado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puerto 3000 estaba ocupado. La API quedó en 3010.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Cerrado en el README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INC-02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Grave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200 usuarios y 0 % de error, pero el p95 fue 1,28 s. El ERS pide menos de 300 ms.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Abierto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INC-03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Moderado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En localhost el tráfico es HTTP. TLS queda para el despliegue.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Abierto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INC-04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Moderado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ERS supone correo de verificación y no está implementado.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Abierto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INC-05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Grave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npm audit y Trivy muestran vulnerabilidades altas en Express y en paquetes Node de la imagen. El parche de npm sube Express a 4.22.3, fuera de la versión fijada.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Abierto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INC-06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Moderado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ZAP no marcó fallos. La pantalla de nginx no envía X-Frame-Options, X-Content-Type-Options ni Content-Security-Policy. La API sí envía cabeceras más estrictas.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Abierto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7. Análisis ético y normativo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7.1 Ética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Los usuarios y el cliente Distribuidora Andina SpA son datos de prueba. Se informa el 403, el p95 de 1,28 s y los hallazgos de npm audit, Trivy y ZAP. No se declara disponibilidad mensual ni TLS de un servidor real. Los escaneos se hicieron solo contra este Docker local. La contraseña de prueba solo vale aquí.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7.2 Normativa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Norma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Datos de clientes y banco cifrados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Ley 19.628 / 21.719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Minimización y resguardo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RBAC y auditoría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Ley 21.663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Control de acceso y registro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Pantalla con contraste y controles grandes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Ley 20.422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Accesibilidad básica, sin prueba con usuarios reales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8. Propuesta de mejora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Mejora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Cierra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Alta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Bajar el p95 del listado de clientes bajo 300 ms y volver a medir con k6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INC-02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Alta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Publicar Atlas solo por HTTPS fuera de localhost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INC-03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Alta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Planificar el parche de Express y body-parser, y justificar el cambio respecto de la versión 4.19.2 del ERS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INC-05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Media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Enviar en nginx las cabeceras que ZAP marcó en la pantalla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INC-06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Media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Agregar el correo de verificación que el ERS supone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INC-04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Alta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Mantener el 403 en el backend aunque la pantalla oculte el botón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RB-4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9. Conclusiones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Atlas local cumple, con evidencia del 17 de octubre de 2026, el login, el rechazo del editor, la baja lógica, el documento del contrato CT-0012 y la auditoría. Esos resultados cubren los requisitos funcionales centrales del ERS y las reglas RB-4 y RB-5.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La carga sí se midió: 200 usuarios, 4428 peticiones y 0 % de error, con p95 de 1,28 s. Ese tiempo no acredita NFR-PERF-1. Tampoco están cerrados el TLS, las vulnerabilidades altas de dependencias ni las cabeceras de la pantalla. El veredicto es de avance en ambiente de prueba, con INC-02, INC-03 e INC-05 abiertos antes de producción.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182B46"/>
          <w:sz w:val="24"/>
        </w:rPr>
        <w:t>10. Anexos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A. ERS oficial: docs/ERS_Atlas_EP1.pdf.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B. Registro HTTP: evidencias/atlas/ejecucion-api.txt.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C. Código y arranque: codigo/atlas y docker compose up -d --build.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D. Carga k6: evidencias/atlas/otras/k6-carga.txt y codigo/atlas/pruebas/carga.js.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E. npm audit: evidencias/atlas/otras/npm-audit-api.txt.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F. Trivy: evidencias/atlas/otras/trivy-api.txt.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G. OWASP ZAP: evidencias/atlas/otras/zap-pantalla.html.</w:t>
      </w:r>
    </w:p>
    <w:sectPr w:rsidR="00FC693F" w:rsidRPr="0006063C" w:rsidSect="00034616">
      <w:footerReference w:type="default" r:id="rId9"/>
      <w:pgSz w:w="12240" w:h="15840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b w:val="0"/>
        <w:color w:val="646B73"/>
        <w:sz w:val="18"/>
      </w:rPr>
      <w:t xml:space="preserve">ISY1102  •  Informe EP3 Atlas  |  Página </w:t>
    </w:r>
    <w:r>
      <w:rPr>
        <w:rFonts w:ascii="Arial" w:hAnsi="Arial" w:eastAsia="Arial"/>
        <w:b w:val="0"/>
        <w:color w:val="646B73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