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19839"/>
        </w:rPr>
        <w:t>Brave Ronil Foundation — Statistics, Facts &amp; Content Corrections</w:t>
      </w:r>
    </w:p>
    <w:p>
      <w:r>
        <w:rPr>
          <w:b/>
        </w:rPr>
        <w:t>For:</w:t>
      </w:r>
      <w:r>
        <w:t xml:space="preserve"> Website developer (Six2Eight)</w:t>
      </w:r>
    </w:p>
    <w:p>
      <w:r>
        <w:rPr>
          <w:b/>
        </w:rPr>
        <w:t>From:</w:t>
      </w:r>
      <w:r>
        <w:t xml:space="preserve"> Milan Mehta</w:t>
      </w:r>
    </w:p>
    <w:p>
      <w:r>
        <w:rPr>
          <w:b/>
        </w:rPr>
        <w:t>Date:</w:t>
      </w:r>
      <w:r>
        <w:t xml:space="preserve"> August 3, 2026</w:t>
      </w:r>
    </w:p>
    <w:p>
      <w:pPr>
        <w:ind w:left="432"/>
      </w:pPr>
      <w:r>
        <w:rPr>
          <w:i/>
        </w:rPr>
        <w:t>This document covers three things:</w:t>
      </w:r>
    </w:p>
    <w:p>
      <w:pPr>
        <w:ind w:left="432"/>
      </w:pPr>
      <w:r>
        <w:rPr>
          <w:b/>
        </w:rPr>
        <w:t>(A)</w:t>
      </w:r>
      <w:r>
        <w:rPr>
          <w:i/>
        </w:rPr>
        <w:t xml:space="preserve"> corrected statistics and DIPG facts — with the exact copy to use and the sources behind each number;</w:t>
      </w:r>
    </w:p>
    <w:p>
      <w:pPr>
        <w:ind w:left="432"/>
      </w:pPr>
      <w:r>
        <w:rPr>
          <w:b/>
        </w:rPr>
        <w:t>(B)</w:t>
      </w:r>
      <w:r>
        <w:rPr>
          <w:i/>
        </w:rPr>
        <w:t xml:space="preserve"> Ronil's story — approved content for the site;</w:t>
      </w:r>
    </w:p>
    <w:p>
      <w:pPr>
        <w:ind w:left="432"/>
      </w:pPr>
      <w:r>
        <w:rPr>
          <w:b/>
        </w:rPr>
        <w:t>(C)</w:t>
      </w:r>
      <w:r>
        <w:rPr>
          <w:i/>
        </w:rPr>
        <w:t xml:space="preserve"> a required framing rule — Family Support and our other programs must be written in</w:t>
      </w:r>
    </w:p>
    <w:p>
      <w:pPr>
        <w:ind w:left="432"/>
      </w:pPr>
      <w:r>
        <w:rPr>
          <w:b/>
        </w:rPr>
        <w:t>forward-looking language</w:t>
      </w:r>
      <w:r>
        <w:rPr>
          <w:i/>
        </w:rPr>
        <w:t>, because the Brave Ronil Foundation is a new organization</w:t>
      </w:r>
    </w:p>
    <w:p>
      <w:pPr>
        <w:ind w:left="432"/>
      </w:pPr>
      <w:r>
        <w:rPr>
          <w:i/>
        </w:rPr>
        <w:t xml:space="preserve">that is </w:t>
      </w:r>
      <w:r>
        <w:rPr>
          <w:i/>
        </w:rPr>
        <w:t>building</w:t>
      </w:r>
      <w:r>
        <w:rPr>
          <w:i/>
        </w:rPr>
        <w:t xml:space="preserve"> these programs, not describing a track record.</w:t>
      </w:r>
    </w:p>
    <w:p>
      <w:r>
        <w:t>&gt;</w:t>
      </w:r>
    </w:p>
    <w:p>
      <w:pPr>
        <w:ind w:left="432"/>
      </w:pPr>
      <w:r>
        <w:rPr>
          <w:i/>
        </w:rPr>
        <w:t>All statistics below were fact-checked against primary sources (NCI, American Cancer</w:t>
      </w:r>
    </w:p>
    <w:p>
      <w:pPr>
        <w:ind w:left="432"/>
      </w:pPr>
      <w:r>
        <w:rPr>
          <w:i/>
        </w:rPr>
        <w:t>Society, St. Jude, the International DIPG/DMG Registry, and peer-reviewed literature) on</w:t>
      </w:r>
    </w:p>
    <w:p>
      <w:pPr>
        <w:ind w:left="432"/>
      </w:pPr>
      <w:r>
        <w:rPr>
          <w:i/>
        </w:rPr>
        <w:t>Aug 3, 2026. Please treat every medical statistic as final only after a medical-advisor</w:t>
      </w:r>
    </w:p>
    <w:p>
      <w:pPr>
        <w:ind w:left="432"/>
      </w:pPr>
      <w:r>
        <w:rPr>
          <w:i/>
        </w:rPr>
        <w:t>review before launch.</w:t>
      </w:r>
    </w:p>
    <w:p>
      <w:pPr>
        <w:pStyle w:val="Heading1"/>
      </w:pPr>
      <w:r>
        <w:rPr>
          <w:color w:val="219839"/>
        </w:rPr>
        <w:t>A. STATISTICS &amp; FACTS — corrections</w:t>
      </w:r>
    </w:p>
    <w:p>
      <w:pPr>
        <w:pStyle w:val="Heading2"/>
      </w:pPr>
      <w:r>
        <w:t>A1. The homepage / About DIPG "stats band" (three tiles) — all three need fixing</w:t>
      </w:r>
    </w:p>
    <w:p>
      <w:r>
        <w:t xml:space="preserve">The current tiles read: </w:t>
      </w:r>
      <w:r>
        <w:rPr>
          <w:b/>
        </w:rPr>
        <w:t>"2 min — A Child is Diagnosed"</w:t>
      </w:r>
      <w:r>
        <w:t xml:space="preserve">, </w:t>
      </w:r>
      <w:r>
        <w:rPr>
          <w:b/>
        </w:rPr>
        <w:t>"#1 — Leading Cause of Death"</w:t>
      </w:r>
      <w:r>
        <w:t>,</w:t>
      </w:r>
    </w:p>
    <w:p>
      <w:r>
        <w:rPr>
          <w:b/>
        </w:rPr>
        <w:t>"&lt; 1% — Less Than 1% Survival."</w:t>
      </w:r>
      <w:r>
        <w:t xml:space="preserve"> As written, each is imprecise or misleading. Replace as follows.</w:t>
      </w:r>
    </w:p>
    <w:p>
      <w:r>
        <w:rPr>
          <w:b/>
        </w:rPr>
        <w:t>Tile 1 — "Every 2 minutes"</w:t>
      </w:r>
    </w:p>
    <w:p>
      <w:pPr>
        <w:pStyle w:val="ListBullet"/>
        <w:ind w:left="360"/>
      </w:pPr>
      <w:r>
        <w:rPr>
          <w:b/>
        </w:rPr>
        <w:t>Problem:</w:t>
      </w:r>
      <w:r>
        <w:t xml:space="preserve"> "Every two minutes a child is diagnosed with cancer" is a </w:t>
      </w:r>
      <w:r>
        <w:rPr>
          <w:b/>
        </w:rPr>
        <w:t>worldwide</w:t>
      </w:r>
      <w:r>
        <w:t xml:space="preserve"> figure</w:t>
      </w:r>
    </w:p>
    <w:p>
      <w:r>
        <w:t xml:space="preserve">  (WHO/IARC, via St. Baldrick's, 2016). It is </w:t>
      </w:r>
      <w:r>
        <w:rPr>
          <w:b/>
        </w:rPr>
        <w:t>not</w:t>
      </w:r>
      <w:r>
        <w:t xml:space="preserve"> a U.S. number. Presenting it next to a</w:t>
      </w:r>
    </w:p>
    <w:p>
      <w:r>
        <w:t xml:space="preserve">  U.S.-based foundation's messaging conflates a global stat with a U.S. one.</w:t>
      </w:r>
    </w:p>
    <w:p>
      <w:pPr>
        <w:pStyle w:val="ListBullet"/>
        <w:ind w:left="360"/>
      </w:pPr>
      <w:r>
        <w:rPr>
          <w:b/>
        </w:rPr>
        <w:t>CHANGE TO (keep the tile, add one word + a footnote):</w:t>
      </w:r>
    </w:p>
    <w:p>
      <w:r>
        <w:t xml:space="preserve">  &gt; </w:t>
      </w:r>
      <w:r>
        <w:rPr>
          <w:b/>
        </w:rPr>
        <w:t>Every 2 minutes</w:t>
      </w:r>
      <w:r>
        <w:t xml:space="preserve"> — </w:t>
      </w:r>
      <w:r>
        <w:rPr>
          <w:i/>
        </w:rPr>
        <w:t xml:space="preserve">A child is diagnosed with cancer </w:t>
      </w:r>
      <w:r>
        <w:rPr>
          <w:i/>
        </w:rPr>
        <w:t>worldwide</w:t>
      </w:r>
      <w:r>
        <w:rPr>
          <w:b/>
        </w:rPr>
      </w:r>
    </w:p>
    <w:p>
      <w:pPr>
        <w:pStyle w:val="ListBullet"/>
        <w:ind w:left="360"/>
      </w:pPr>
      <w:r>
        <w:rPr>
          <w:b/>
        </w:rPr>
        <w:t>Or, if you prefer a U.S. figure:</w:t>
      </w:r>
    </w:p>
    <w:p>
      <w:r>
        <w:t xml:space="preserve">  &gt; </w:t>
      </w:r>
      <w:r>
        <w:rPr>
          <w:b/>
        </w:rPr>
        <w:t>~15,000 a year</w:t>
      </w:r>
      <w:r>
        <w:t xml:space="preserve"> — </w:t>
      </w:r>
      <w:r>
        <w:rPr>
          <w:i/>
        </w:rPr>
        <w:t>U.S. children and teens diagnosed with cancer (about one every 35 minutes)</w:t>
      </w:r>
    </w:p>
    <w:p>
      <w:pPr>
        <w:pStyle w:val="ListBullet"/>
        <w:ind w:left="360"/>
      </w:pPr>
      <w:r>
        <w:rPr>
          <w:b/>
        </w:rPr>
        <w:t>Source:</w:t>
      </w:r>
      <w:r>
        <w:t xml:space="preserve"> WHO/IARC via St. Baldrick's (2016); NCI </w:t>
      </w:r>
      <w:r>
        <w:rPr>
          <w:i/>
        </w:rPr>
        <w:t>Cancer in Children and Adolescents</w:t>
      </w:r>
      <w:r>
        <w:t xml:space="preserve"> (2024); ACS/Siegel, </w:t>
      </w:r>
      <w:r>
        <w:rPr>
          <w:i/>
        </w:rPr>
        <w:t>Cancer Statistics 2025</w:t>
      </w:r>
      <w:r>
        <w:t>.</w:t>
      </w:r>
    </w:p>
    <w:p>
      <w:r>
        <w:rPr>
          <w:b/>
        </w:rPr>
        <w:t>Tile 2 — "#1 Leading Cause of Death"</w:t>
      </w:r>
    </w:p>
    <w:p>
      <w:pPr>
        <w:pStyle w:val="ListBullet"/>
        <w:ind w:left="360"/>
      </w:pPr>
      <w:r>
        <w:rPr>
          <w:b/>
        </w:rPr>
        <w:t>Problem:</w:t>
      </w:r>
      <w:r>
        <w:t xml:space="preserve"> Cancer is </w:t>
      </w:r>
      <w:r>
        <w:rPr>
          <w:b/>
        </w:rPr>
        <w:t>not</w:t>
      </w:r>
      <w:r>
        <w:t xml:space="preserve"> the overall leading cause of death in children — accidents/injuries</w:t>
      </w:r>
    </w:p>
    <w:p>
      <w:r>
        <w:t xml:space="preserve">  are. Cancer is the leading cause of death </w:t>
      </w:r>
      <w:r>
        <w:rPr>
          <w:b/>
        </w:rPr>
        <w:t>by disease</w:t>
      </w:r>
      <w:r>
        <w:t>. Without that qualifier the claim is inaccurate.</w:t>
      </w:r>
    </w:p>
    <w:p>
      <w:pPr>
        <w:pStyle w:val="ListBullet"/>
        <w:ind w:left="360"/>
      </w:pPr>
      <w:r>
        <w:rPr>
          <w:b/>
        </w:rPr>
        <w:t>CHANGE TO:</w:t>
      </w:r>
    </w:p>
    <w:p>
      <w:r>
        <w:t xml:space="preserve">  &gt; </w:t>
      </w:r>
      <w:r>
        <w:rPr>
          <w:b/>
        </w:rPr>
        <w:t>#1</w:t>
      </w:r>
      <w:r>
        <w:t xml:space="preserve"> — </w:t>
      </w:r>
      <w:r>
        <w:rPr>
          <w:i/>
        </w:rPr>
        <w:t xml:space="preserve">Leading cause of death </w:t>
      </w:r>
      <w:r>
        <w:rPr>
          <w:i/>
        </w:rPr>
        <w:t>by disease</w:t>
      </w:r>
      <w:r>
        <w:rPr>
          <w:i/>
        </w:rPr>
        <w:t xml:space="preserve"> in U.S. children (past infancy)</w:t>
      </w:r>
    </w:p>
    <w:p>
      <w:pPr>
        <w:pStyle w:val="ListBullet"/>
        <w:ind w:left="360"/>
      </w:pPr>
      <w:r>
        <w:rPr>
          <w:b/>
        </w:rPr>
        <w:t>Source:</w:t>
      </w:r>
      <w:r>
        <w:t xml:space="preserve"> NCI </w:t>
      </w:r>
      <w:r>
        <w:rPr>
          <w:i/>
        </w:rPr>
        <w:t>Cancer in Children and Adolescents</w:t>
      </w:r>
      <w:r>
        <w:t xml:space="preserve"> (2024/2025). (Overall-cause context: NEJM, Cunningham et al., 2018.)</w:t>
      </w:r>
    </w:p>
    <w:p>
      <w:r>
        <w:rPr>
          <w:b/>
        </w:rPr>
        <w:t>Tile 3 — "&lt; 1% Survival"</w:t>
      </w:r>
    </w:p>
    <w:p>
      <w:pPr>
        <w:pStyle w:val="ListBullet"/>
        <w:ind w:left="360"/>
      </w:pPr>
      <w:r>
        <w:rPr>
          <w:b/>
        </w:rPr>
        <w:t>Problem:</w:t>
      </w:r>
      <w:r>
        <w:t xml:space="preserve"> "&lt;1%" refers specifically to </w:t>
      </w:r>
      <w:r>
        <w:rPr>
          <w:b/>
        </w:rPr>
        <w:t>5-year</w:t>
      </w:r>
      <w:r>
        <w:t xml:space="preserve"> survival. On its own it reads as if</w:t>
      </w:r>
    </w:p>
    <w:p>
      <w:r>
        <w:t xml:space="preserve">  </w:t>
      </w:r>
      <w:r>
        <w:rPr>
          <w:i/>
        </w:rPr>
        <w:t>no</w:t>
      </w:r>
      <w:r>
        <w:t xml:space="preserve"> child survives, and it omits the number families most need — median survival in months.</w:t>
      </w:r>
    </w:p>
    <w:p>
      <w:pPr>
        <w:pStyle w:val="ListBullet"/>
        <w:ind w:left="360"/>
      </w:pPr>
      <w:r>
        <w:rPr>
          <w:b/>
        </w:rPr>
        <w:t>CHANGE TO (recommended — make it DIPG-specific and honest):</w:t>
      </w:r>
    </w:p>
    <w:p>
      <w:r>
        <w:t xml:space="preserve">  &gt; </w:t>
      </w:r>
      <w:r>
        <w:rPr>
          <w:b/>
        </w:rPr>
        <w:t>8–11 months</w:t>
      </w:r>
      <w:r>
        <w:t xml:space="preserve"> — </w:t>
      </w:r>
      <w:r>
        <w:rPr>
          <w:i/>
        </w:rPr>
        <w:t>Median survival after a DIPG diagnosis</w:t>
      </w:r>
    </w:p>
    <w:p>
      <w:r>
        <w:t xml:space="preserve">  &gt; …and, in the body copy beneath the band, add:</w:t>
      </w:r>
    </w:p>
    <w:p>
      <w:r>
        <w:t xml:space="preserve">  &gt; </w:t>
      </w:r>
      <w:r>
        <w:rPr>
          <w:i/>
        </w:rPr>
        <w:t>"Fewer than 1 in 10 children live two years, and the 5-year survival rate is only about 1–2%."</w:t>
      </w:r>
    </w:p>
    <w:p>
      <w:pPr>
        <w:pStyle w:val="ListBullet"/>
        <w:ind w:left="360"/>
      </w:pPr>
      <w:r>
        <w:rPr>
          <w:b/>
        </w:rPr>
        <w:t>Source:</w:t>
      </w:r>
      <w:r>
        <w:t xml:space="preserve"> International &amp; SIOPE DIPG Registry pooled analysis (Hoffman et al., </w:t>
      </w:r>
      <w:r>
        <w:rPr>
          <w:i/>
        </w:rPr>
        <w:t>J Clin Oncol</w:t>
      </w:r>
      <w:r>
        <w:t xml:space="preserve"> 2018; median OS 11 months, 2-yr 9.6%, 5-yr 2.2%); St. Jude; ChadTough Defeat DIPG.</w:t>
      </w:r>
    </w:p>
    <w:p>
      <w:pPr>
        <w:pStyle w:val="Heading2"/>
      </w:pPr>
      <w:r>
        <w:t>A2. Verified DIPG/DMG numbers — use these anywhere else on the site</w:t>
      </w:r>
    </w:p>
    <w:p>
      <w:r>
        <w:t xml:space="preserve">Where the site states any DIPG fact (especially the </w:t>
      </w:r>
      <w:r>
        <w:rPr>
          <w:b/>
        </w:rPr>
        <w:t>About DIPG</w:t>
      </w:r>
      <w:r>
        <w:t xml:space="preserve"> page), use these figures and</w:t>
      </w:r>
    </w:p>
    <w:p>
      <w:r>
        <w:t xml:space="preserve">always state </w:t>
      </w:r>
      <w:r>
        <w:rPr>
          <w:b/>
        </w:rPr>
        <w:t>(a)</w:t>
      </w:r>
      <w:r>
        <w:t xml:space="preserve"> U.S. vs. worldwide, </w:t>
      </w:r>
      <w:r>
        <w:rPr>
          <w:b/>
        </w:rPr>
        <w:t>(b)</w:t>
      </w:r>
      <w:r>
        <w:t xml:space="preserve"> the time window, and </w:t>
      </w:r>
      <w:r>
        <w:rPr>
          <w:b/>
        </w:rPr>
        <w:t>(c)</w:t>
      </w:r>
      <w:r>
        <w:t xml:space="preserve"> keep them consistent sitewide.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 this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DIPG diagnoses per year (U.S.)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~300 children/year</w:t>
            </w:r>
            <w:r>
              <w:t xml:space="preserve"> (range 150–300)</w:t>
            </w:r>
          </w:p>
        </w:tc>
        <w:tc>
          <w:tcPr>
            <w:tcW w:type="dxa" w:w="2880"/>
          </w:tcPr>
          <w:p>
            <w:r/>
            <w:r>
              <w:t>NCI; St. Jude; Children's Hospital LA</w:t>
            </w:r>
          </w:p>
        </w:tc>
      </w:tr>
      <w:tr>
        <w:tc>
          <w:tcPr>
            <w:tcW w:type="dxa" w:w="2880"/>
          </w:tcPr>
          <w:p>
            <w:r/>
            <w:r>
              <w:t>DIPG diagnoses worldwide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 not publish a specific number</w:t>
            </w:r>
            <w:r>
              <w:t xml:space="preserve"> — no reliable global count exists</w:t>
            </w:r>
          </w:p>
        </w:tc>
        <w:tc>
          <w:tcPr>
            <w:tcW w:type="dxa" w:w="2880"/>
          </w:tcPr>
          <w:p>
            <w:r/>
            <w:r>
              <w:t>(flagged uncertain)</w:t>
            </w:r>
          </w:p>
        </w:tc>
      </w:tr>
      <w:tr>
        <w:tc>
          <w:tcPr>
            <w:tcW w:type="dxa" w:w="2880"/>
          </w:tcPr>
          <w:p>
            <w:r/>
            <w:r>
              <w:t>Median age at diagnosis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6–7 years</w:t>
            </w:r>
            <w:r>
              <w:t xml:space="preserve"> (typical range 5–10)</w:t>
            </w:r>
          </w:p>
        </w:tc>
        <w:tc>
          <w:tcPr>
            <w:tcW w:type="dxa" w:w="2880"/>
          </w:tcPr>
          <w:p>
            <w:r/>
            <w:r>
              <w:t>International DIPG/DMG Registry</w:t>
            </w:r>
          </w:p>
        </w:tc>
      </w:tr>
      <w:tr>
        <w:tc>
          <w:tcPr>
            <w:tcW w:type="dxa" w:w="2880"/>
          </w:tcPr>
          <w:p>
            <w:r/>
            <w:r>
              <w:t>Median overall survival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~8–11 months from diagnosis</w:t>
            </w:r>
          </w:p>
        </w:tc>
        <w:tc>
          <w:tcPr>
            <w:tcW w:type="dxa" w:w="2880"/>
          </w:tcPr>
          <w:p>
            <w:r/>
            <w:r>
              <w:t>Hoffman et al., JCO 2018</w:t>
            </w:r>
          </w:p>
        </w:tc>
      </w:tr>
      <w:tr>
        <w:tc>
          <w:tcPr>
            <w:tcW w:type="dxa" w:w="2880"/>
          </w:tcPr>
          <w:p>
            <w:r/>
            <w:r>
              <w:t>2-year survival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~10% (fewer than 1 in 10)</w:t>
            </w:r>
          </w:p>
        </w:tc>
        <w:tc>
          <w:tcPr>
            <w:tcW w:type="dxa" w:w="2880"/>
          </w:tcPr>
          <w:p>
            <w:r/>
            <w:r>
              <w:t>St. Jude; DIPG Registry</w:t>
            </w:r>
          </w:p>
        </w:tc>
      </w:tr>
      <w:tr>
        <w:tc>
          <w:tcPr>
            <w:tcW w:type="dxa" w:w="2880"/>
          </w:tcPr>
          <w:p>
            <w:r/>
            <w:r>
              <w:t>5-year survival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~1–2%</w:t>
            </w:r>
          </w:p>
        </w:tc>
        <w:tc>
          <w:tcPr>
            <w:tcW w:type="dxa" w:w="2880"/>
          </w:tcPr>
          <w:p>
            <w:r/>
            <w:r>
              <w:t>Hoffman et al., 2018</w:t>
            </w:r>
          </w:p>
        </w:tc>
      </w:tr>
      <w:tr>
        <w:tc>
          <w:tcPr>
            <w:tcW w:type="dxa" w:w="2880"/>
          </w:tcPr>
          <w:p>
            <w:r/>
            <w:r>
              <w:t>Surgery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possible</w:t>
            </w:r>
            <w:r>
              <w:t xml:space="preserve"> — DIPG grows diffusely in the brainstem; biopsy only</w:t>
            </w:r>
          </w:p>
        </w:tc>
        <w:tc>
          <w:tcPr>
            <w:tcW w:type="dxa" w:w="2880"/>
          </w:tcPr>
          <w:p>
            <w:r/>
            <w:r>
              <w:t>NCI; St. Jude</w:t>
            </w:r>
          </w:p>
        </w:tc>
      </w:tr>
      <w:tr>
        <w:tc>
          <w:tcPr>
            <w:tcW w:type="dxa" w:w="2880"/>
          </w:tcPr>
          <w:p>
            <w:r/>
            <w:r>
              <w:t>Standard of care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Radiation</w:t>
            </w:r>
            <w:r>
              <w:t xml:space="preserve"> — eases symptoms in ~80% of children but is </w:t>
            </w:r>
            <w:r>
              <w:rPr>
                <w:b/>
              </w:rPr>
              <w:t>not a cure</w:t>
            </w:r>
          </w:p>
        </w:tc>
        <w:tc>
          <w:tcPr>
            <w:tcW w:type="dxa" w:w="2880"/>
          </w:tcPr>
          <w:p>
            <w:r/>
            <w:r>
              <w:t>St. Jude; DIPG.org</w:t>
            </w:r>
          </w:p>
        </w:tc>
      </w:tr>
      <w:tr>
        <w:tc>
          <w:tcPr>
            <w:tcW w:type="dxa" w:w="2880"/>
          </w:tcPr>
          <w:p>
            <w:r/>
            <w:r>
              <w:t>Rank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Leading cause of brain-tumor death in children</w:t>
            </w:r>
          </w:p>
        </w:tc>
        <w:tc>
          <w:tcPr>
            <w:tcW w:type="dxa" w:w="2880"/>
          </w:tcPr>
          <w:p>
            <w:r/>
            <w:r>
              <w:t>StatPearls 2024; CBTRUS</w:t>
            </w:r>
          </w:p>
        </w:tc>
      </w:tr>
      <w:tr>
        <w:tc>
          <w:tcPr>
            <w:tcW w:type="dxa" w:w="2880"/>
          </w:tcPr>
          <w:p>
            <w:r/>
            <w:r>
              <w:t>DMG / mutation</w:t>
            </w:r>
          </w:p>
        </w:tc>
        <w:tc>
          <w:tcPr>
            <w:tcW w:type="dxa" w:w="2880"/>
          </w:tcPr>
          <w:p>
            <w:r/>
            <w:r>
              <w:t xml:space="preserve">DIPG is now classified as </w:t>
            </w:r>
            <w:r>
              <w:rPr>
                <w:b/>
              </w:rPr>
              <w:t>diffuse midline glioma (DMG), H3 K27-altered</w:t>
            </w:r>
            <w:r>
              <w:t xml:space="preserve">; </w:t>
            </w:r>
            <w:r>
              <w:rPr>
                <w:b/>
              </w:rPr>
              <w:t>~80–85%</w:t>
            </w:r>
            <w:r>
              <w:t xml:space="preserve"> carry the H3 K27M mutation</w:t>
            </w:r>
          </w:p>
        </w:tc>
        <w:tc>
          <w:tcPr>
            <w:tcW w:type="dxa" w:w="2880"/>
          </w:tcPr>
          <w:p>
            <w:r/>
            <w:r>
              <w:t>WHO 2021; ABTA; PMC11120159 (2024)</w:t>
            </w:r>
          </w:p>
        </w:tc>
      </w:tr>
      <w:tr>
        <w:tc>
          <w:tcPr>
            <w:tcW w:type="dxa" w:w="2880"/>
          </w:tcPr>
          <w:p>
            <w:r/>
            <w:r>
              <w:t>Prognosis unchanged for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~5 decades (about 50 years)</w:t>
            </w:r>
          </w:p>
        </w:tc>
        <w:tc>
          <w:tcPr>
            <w:tcW w:type="dxa" w:w="2880"/>
          </w:tcPr>
          <w:p>
            <w:r/>
            <w:r>
              <w:t>Damodharan &amp; Puccetti, 2023</w:t>
            </w:r>
          </w:p>
        </w:tc>
      </w:tr>
    </w:tbl>
    <w:p/>
    <w:p>
      <w:pPr>
        <w:pStyle w:val="Heading2"/>
      </w:pPr>
      <w:r>
        <w:t>A3. Do NOT use (unsupported or misleading)</w:t>
      </w:r>
    </w:p>
    <w:p>
      <w:pPr>
        <w:pStyle w:val="ListBullet"/>
        <w:ind w:left="360"/>
      </w:pPr>
      <w:r>
        <w:t xml:space="preserve">❌ A specific </w:t>
      </w:r>
      <w:r>
        <w:rPr>
          <w:b/>
        </w:rPr>
        <w:t>worldwide DIPG</w:t>
      </w:r>
      <w:r>
        <w:t xml:space="preserve"> annual count — no reliable published figure exists.</w:t>
      </w:r>
    </w:p>
    <w:p>
      <w:pPr>
        <w:pStyle w:val="ListBullet"/>
        <w:ind w:left="360"/>
      </w:pPr>
      <w:r>
        <w:t xml:space="preserve">❌ A </w:t>
      </w:r>
      <w:r>
        <w:rPr>
          <w:b/>
        </w:rPr>
        <w:t>DIPG-specific federal funding percentage</w:t>
      </w:r>
      <w:r>
        <w:t xml:space="preserve"> — none exists. If a funding stat is used,</w:t>
      </w:r>
    </w:p>
    <w:p>
      <w:r>
        <w:t xml:space="preserve">  the only defensible one is </w:t>
      </w:r>
      <w:r>
        <w:rPr>
          <w:i/>
        </w:rPr>
        <w:t xml:space="preserve">*"~4% of the U.S. National Cancer Institute budget goes to </w:t>
      </w:r>
      <w:r>
        <w:t>all*</w:t>
      </w:r>
    </w:p>
    <w:p>
      <w:r>
        <w:t xml:space="preserve">  pediatric cancers combined"** — clearly labeled as all pediatric cancer, not DIPG.</w:t>
      </w:r>
    </w:p>
    <w:p>
      <w:pPr>
        <w:pStyle w:val="ListBullet"/>
        <w:ind w:left="360"/>
      </w:pPr>
      <w:r>
        <w:t xml:space="preserve">❌ "Every 2 (or 3) minutes" presented as a </w:t>
      </w:r>
      <w:r>
        <w:rPr>
          <w:b/>
        </w:rPr>
        <w:t>U.S.</w:t>
      </w:r>
      <w:r>
        <w:t xml:space="preserve"> figure — it is worldwide.</w:t>
      </w:r>
    </w:p>
    <w:p>
      <w:pPr>
        <w:pStyle w:val="ListBullet"/>
        <w:ind w:left="360"/>
      </w:pPr>
      <w:r>
        <w:t xml:space="preserve">❌ A bare </w:t>
      </w:r>
      <w:r>
        <w:rPr>
          <w:b/>
        </w:rPr>
        <w:t>"&lt;1% survival"</w:t>
      </w:r>
      <w:r>
        <w:t xml:space="preserve"> with no time window.</w:t>
      </w:r>
    </w:p>
    <w:p>
      <w:pPr>
        <w:pStyle w:val="ListBullet"/>
        <w:ind w:left="360"/>
      </w:pPr>
      <w:r>
        <w:t>⚠️ "Only X drugs developed for children in Y years" type lines — vary widely across advocacy</w:t>
      </w:r>
    </w:p>
    <w:p>
      <w:r>
        <w:t xml:space="preserve">  sites; source independently or drop.</w:t>
      </w:r>
    </w:p>
    <w:p>
      <w:pPr>
        <w:pStyle w:val="Heading1"/>
      </w:pPr>
      <w:r>
        <w:rPr>
          <w:color w:val="219839"/>
        </w:rPr>
        <w:t>B. RONIL'S STORY — approved content</w:t>
      </w:r>
    </w:p>
    <w:p>
      <w:r>
        <w:t>Ronil Mehta is the child the foundation is named for, so his story is core content and approved</w:t>
      </w:r>
    </w:p>
    <w:p>
      <w:r>
        <w:t>for the site. Please add it in two places.</w:t>
      </w:r>
    </w:p>
    <w:p>
      <w:pPr>
        <w:pStyle w:val="Heading2"/>
      </w:pPr>
      <w:r>
        <w:t>B1. Dedicated "Meet Ronil" page — full story (use this copy)</w:t>
      </w:r>
    </w:p>
    <w:p>
      <w:pPr>
        <w:ind w:left="432"/>
      </w:pPr>
      <w:r>
        <w:rPr>
          <w:b/>
        </w:rPr>
        <w:t>Ronil's Story</w:t>
      </w:r>
    </w:p>
    <w:p>
      <w:r>
        <w:t>&gt;</w:t>
      </w:r>
    </w:p>
    <w:p>
      <w:pPr>
        <w:ind w:left="432"/>
      </w:pPr>
      <w:r>
        <w:rPr>
          <w:i/>
        </w:rPr>
        <w:t>Ronil Mehta — son of Manisha and Milan and older brother to Sahil — fought a courageous</w:t>
      </w:r>
    </w:p>
    <w:p>
      <w:pPr>
        <w:ind w:left="432"/>
      </w:pPr>
      <w:r>
        <w:rPr>
          <w:i/>
        </w:rPr>
        <w:t>31-month battle with DIPG, a terminal pediatric brain cancer. His journey, from January 2016</w:t>
      </w:r>
    </w:p>
    <w:p>
      <w:pPr>
        <w:ind w:left="432"/>
      </w:pPr>
      <w:r>
        <w:rPr>
          <w:i/>
        </w:rPr>
        <w:t>to September 2018, is one of immense courage and strength, inspiring us to cherish the present,</w:t>
      </w:r>
    </w:p>
    <w:p>
      <w:pPr>
        <w:ind w:left="432"/>
      </w:pPr>
      <w:r>
        <w:rPr>
          <w:i/>
        </w:rPr>
        <w:t>never lose hope, and live life to the fullest despite every challenge.</w:t>
      </w:r>
    </w:p>
    <w:p>
      <w:r>
        <w:t>&gt;</w:t>
      </w:r>
    </w:p>
    <w:p>
      <w:pPr>
        <w:ind w:left="432"/>
      </w:pPr>
      <w:r>
        <w:rPr>
          <w:i/>
        </w:rPr>
        <w:t>Ronil was a kind, fun-loving kid who loved baseball, basketball, karate, and skiing, and had a</w:t>
      </w:r>
    </w:p>
    <w:p>
      <w:pPr>
        <w:ind w:left="432"/>
      </w:pPr>
      <w:r>
        <w:rPr>
          <w:i/>
        </w:rPr>
        <w:t>fascination with technology and politics. He loved the beach and the water, playing video games</w:t>
      </w:r>
    </w:p>
    <w:p>
      <w:pPr>
        <w:ind w:left="432"/>
      </w:pPr>
      <w:r>
        <w:rPr>
          <w:i/>
        </w:rPr>
        <w:t>with his friends, and dreamed of becoming a pilot.</w:t>
      </w:r>
    </w:p>
    <w:p>
      <w:r>
        <w:t>&gt;</w:t>
      </w:r>
    </w:p>
    <w:p>
      <w:pPr>
        <w:ind w:left="432"/>
      </w:pPr>
      <w:r>
        <w:rPr>
          <w:i/>
        </w:rPr>
        <w:t>In November 2015, during his 12th birthday party, Ronil had his first headache. The headaches</w:t>
      </w:r>
    </w:p>
    <w:p>
      <w:pPr>
        <w:ind w:left="432"/>
      </w:pPr>
      <w:r>
        <w:rPr>
          <w:i/>
        </w:rPr>
        <w:t>grew more frequent but were dismissed as migraines. On January 7, 2016, while getting ready for</w:t>
      </w:r>
    </w:p>
    <w:p>
      <w:pPr>
        <w:ind w:left="432"/>
      </w:pPr>
      <w:r>
        <w:rPr>
          <w:i/>
        </w:rPr>
        <w:t>school, he collapsed and was diagnosed with a DIPG tumor in his brainstem. He fell into a coma;</w:t>
      </w:r>
    </w:p>
    <w:p>
      <w:pPr>
        <w:ind w:left="432"/>
      </w:pPr>
      <w:r>
        <w:rPr>
          <w:i/>
        </w:rPr>
        <w:t>doctors encouraged his parents to consider taking him off life support. A week later he woke in</w:t>
      </w:r>
    </w:p>
    <w:p>
      <w:pPr>
        <w:ind w:left="432"/>
      </w:pPr>
      <w:r>
        <w:rPr>
          <w:i/>
        </w:rPr>
        <w:t>the ICU — unable to move, able to communicate only by blinking — yet he met the situation with a</w:t>
      </w:r>
    </w:p>
    <w:p>
      <w:pPr>
        <w:ind w:left="432"/>
      </w:pPr>
      <w:r>
        <w:rPr>
          <w:i/>
        </w:rPr>
        <w:t>bravery that never left him.</w:t>
      </w:r>
    </w:p>
    <w:p>
      <w:r>
        <w:t>&gt;</w:t>
      </w:r>
    </w:p>
    <w:p>
      <w:pPr>
        <w:ind w:left="432"/>
      </w:pPr>
      <w:r>
        <w:rPr>
          <w:i/>
        </w:rPr>
        <w:t>Through radiation and physical, occupational, and speech therapy — and sheer determination —</w:t>
      </w:r>
    </w:p>
    <w:p>
      <w:pPr>
        <w:ind w:left="432"/>
      </w:pPr>
      <w:r>
        <w:rPr>
          <w:i/>
        </w:rPr>
        <w:t>Ronil regained strength, returned to school, and threw himself back into life: snowmobiling,</w:t>
      </w:r>
    </w:p>
    <w:p>
      <w:pPr>
        <w:ind w:left="432"/>
      </w:pPr>
      <w:r>
        <w:rPr>
          <w:i/>
        </w:rPr>
        <w:t>indoor skydiving, homework done independently, his playful charm intact. When his disease</w:t>
      </w:r>
    </w:p>
    <w:p>
      <w:pPr>
        <w:ind w:left="432"/>
      </w:pPr>
      <w:r>
        <w:rPr>
          <w:i/>
        </w:rPr>
        <w:t>progressed, his family pursued experimental treatment in Monterrey, Mexico, and he returned home</w:t>
      </w:r>
    </w:p>
    <w:p>
      <w:pPr>
        <w:ind w:left="432"/>
      </w:pPr>
      <w:r>
        <w:rPr>
          <w:i/>
        </w:rPr>
        <w:t>in time for his middle-school graduation, recognized for his bravery and for spreading DIPG</w:t>
      </w:r>
    </w:p>
    <w:p>
      <w:pPr>
        <w:ind w:left="432"/>
      </w:pPr>
      <w:r>
        <w:rPr>
          <w:i/>
        </w:rPr>
        <w:t>awareness in his community. His story reached Stephen Curry and President Obama, who sent him</w:t>
      </w:r>
    </w:p>
    <w:p>
      <w:pPr>
        <w:ind w:left="432"/>
      </w:pPr>
      <w:r>
        <w:rPr>
          <w:i/>
        </w:rPr>
        <w:t>personal messages of encouragement.</w:t>
      </w:r>
    </w:p>
    <w:p>
      <w:r>
        <w:t>&gt;</w:t>
      </w:r>
    </w:p>
    <w:p>
      <w:pPr>
        <w:ind w:left="432"/>
      </w:pPr>
      <w:r>
        <w:rPr>
          <w:i/>
        </w:rPr>
        <w:t>On September 1, 2018 — the first day of Childhood Cancer Awareness Month — Ronil passed away</w:t>
      </w:r>
    </w:p>
    <w:p>
      <w:pPr>
        <w:ind w:left="432"/>
      </w:pPr>
      <w:r>
        <w:rPr>
          <w:i/>
        </w:rPr>
        <w:t>peacefully at home. Honoring his final wishes, his family donated his tumor to Stanford for DIPG</w:t>
      </w:r>
    </w:p>
    <w:p>
      <w:pPr>
        <w:ind w:left="432"/>
      </w:pPr>
      <w:r>
        <w:rPr>
          <w:i/>
        </w:rPr>
        <w:t>research; it became one of the only Wild-Type cell lines used in DIPG research and trials</w:t>
      </w:r>
    </w:p>
    <w:p>
      <w:pPr>
        <w:ind w:left="432"/>
      </w:pPr>
      <w:r>
        <w:rPr>
          <w:i/>
        </w:rPr>
        <w:t>worldwide. Through that gift, Ronil's legacy reaches far beyond his own journey — offering hope</w:t>
      </w:r>
    </w:p>
    <w:p>
      <w:pPr>
        <w:ind w:left="432"/>
      </w:pPr>
      <w:r>
        <w:rPr>
          <w:i/>
        </w:rPr>
        <w:t>to children with DIPG today and in the future.</w:t>
      </w:r>
    </w:p>
    <w:p>
      <w:r>
        <w:t>*(This is your family's own content about your son and is fully approved for BRF. Please pair it</w:t>
      </w:r>
    </w:p>
    <w:p>
      <w:r>
        <w:t>with real photos of Ronil when provided.)*</w:t>
      </w:r>
    </w:p>
    <w:p>
      <w:pPr>
        <w:pStyle w:val="Heading2"/>
      </w:pPr>
      <w:r>
        <w:t>B2. Homepage "Meet Ronil" section — short excerpt + button</w:t>
      </w:r>
    </w:p>
    <w:p>
      <w:pPr>
        <w:ind w:left="432"/>
      </w:pPr>
      <w:r>
        <w:rPr>
          <w:b/>
        </w:rPr>
        <w:t>Meet Ronil</w:t>
      </w:r>
    </w:p>
    <w:p>
      <w:r>
        <w:t>&gt;</w:t>
      </w:r>
    </w:p>
    <w:p>
      <w:pPr>
        <w:ind w:left="432"/>
      </w:pPr>
      <w:r>
        <w:rPr>
          <w:i/>
        </w:rPr>
        <w:t>Ronil Mehta loved the ocean, sports, and the promise of the future — he dreamed of becoming a</w:t>
      </w:r>
    </w:p>
    <w:p>
      <w:pPr>
        <w:ind w:left="432"/>
      </w:pPr>
      <w:r>
        <w:rPr>
          <w:i/>
        </w:rPr>
        <w:t>pilot. In January 2016 he was diagnosed with DIPG, and over 31 months he met an impossible</w:t>
      </w:r>
    </w:p>
    <w:p>
      <w:pPr>
        <w:ind w:left="432"/>
      </w:pPr>
      <w:r>
        <w:rPr>
          <w:i/>
        </w:rPr>
        <w:t>diagnosis with courage that inspired everyone around him. He passed on September 1, 2018, the</w:t>
      </w:r>
    </w:p>
    <w:p>
      <w:pPr>
        <w:ind w:left="432"/>
      </w:pPr>
      <w:r>
        <w:rPr>
          <w:i/>
        </w:rPr>
        <w:t>first day of Childhood Cancer Awareness Month. The Brave Ronil Foundation carries his name, and</w:t>
      </w:r>
    </w:p>
    <w:p>
      <w:pPr>
        <w:ind w:left="432"/>
      </w:pPr>
      <w:r>
        <w:rPr>
          <w:i/>
        </w:rPr>
        <w:t>his hope, forward.</w:t>
      </w:r>
    </w:p>
    <w:p>
      <w:r>
        <w:t>&gt;</w:t>
      </w:r>
    </w:p>
    <w:p>
      <w:pPr>
        <w:ind w:left="432"/>
      </w:pPr>
      <w:r>
        <w:rPr>
          <w:b/>
        </w:rPr>
        <w:t>[ Read Ronil's Story → ]</w:t>
      </w:r>
      <w:r>
        <w:rPr>
          <w:i/>
        </w:rPr>
        <w:t xml:space="preserve"> (links to the Meet Ronil page)</w:t>
      </w:r>
    </w:p>
    <w:p>
      <w:pPr>
        <w:pStyle w:val="Heading1"/>
      </w:pPr>
      <w:r>
        <w:rPr>
          <w:color w:val="219839"/>
        </w:rPr>
        <w:t>C. FORWARD-LOOKING FRAMING — required for Family Support and all programs</w:t>
      </w:r>
    </w:p>
    <w:p>
      <w:r>
        <w:rPr>
          <w:b/>
        </w:rPr>
        <w:t>This is important and applies sitewide.</w:t>
      </w:r>
      <w:r>
        <w:t xml:space="preserve"> The Brave Ronil Foundation is a **new, independent</w:t>
      </w:r>
    </w:p>
    <w:p>
      <w:r>
        <w:t>organization.** It has not yet run programs, funded grants, or delivered family services. Any copy</w:t>
      </w:r>
    </w:p>
    <w:p>
      <w:r>
        <w:t xml:space="preserve">that describes these as things we </w:t>
      </w:r>
      <w:r>
        <w:rPr>
          <w:i/>
        </w:rPr>
        <w:t>already do</w:t>
      </w:r>
      <w:r>
        <w:t xml:space="preserve"> is inaccurate. All program content must be written</w:t>
      </w:r>
    </w:p>
    <w:p>
      <w:r>
        <w:t xml:space="preserve">in </w:t>
      </w:r>
      <w:r>
        <w:rPr>
          <w:b/>
        </w:rPr>
        <w:t>forward-looking language</w:t>
      </w:r>
      <w:r>
        <w:t xml:space="preserve"> — what families </w:t>
      </w:r>
      <w:r>
        <w:rPr>
          <w:b/>
        </w:rPr>
        <w:t>will be able to</w:t>
      </w:r>
      <w:r>
        <w:t xml:space="preserve"> access as we build these programs.</w:t>
      </w:r>
    </w:p>
    <w:p>
      <w:pPr>
        <w:pStyle w:val="Heading2"/>
      </w:pPr>
      <w:r>
        <w:t>C1. Family Support page</w:t>
      </w:r>
    </w:p>
    <w:p>
      <w:pPr>
        <w:pStyle w:val="ListBullet"/>
        <w:ind w:left="360"/>
      </w:pPr>
      <w:r>
        <w:rPr>
          <w:b/>
        </w:rPr>
        <w:t>First, remove the "Expert Guidance / calls with leading doctors" section</w:t>
      </w:r>
      <w:r>
        <w:t xml:space="preserve"> (already requested —</w:t>
      </w:r>
    </w:p>
    <w:p>
      <w:r>
        <w:t xml:space="preserve">  still live as of Aug 3). It is written in the present tense ("We organize one-on-one calls…") and</w:t>
      </w:r>
    </w:p>
    <w:p>
      <w:r>
        <w:t xml:space="preserve">  implies an established service we are not yet running.</w:t>
      </w:r>
    </w:p>
    <w:p>
      <w:pPr>
        <w:pStyle w:val="ListBullet"/>
        <w:ind w:left="360"/>
      </w:pPr>
      <w:r>
        <w:rPr>
          <w:b/>
        </w:rPr>
        <w:t>Rewrite the Family Support offerings in the future tense.</w:t>
      </w:r>
      <w:r>
        <w:t xml:space="preserve"> Use this framing:</w:t>
      </w:r>
    </w:p>
    <w:p>
      <w:r>
        <w:t xml:space="preserve">  &gt; *"The Brave Ronil Foundation is building a family-support program so that families facing DIPG</w:t>
      </w:r>
    </w:p>
    <w:p>
      <w:r>
        <w:t xml:space="preserve">  &gt; </w:t>
      </w:r>
      <w:r>
        <w:rPr>
          <w:b/>
        </w:rPr>
        <w:t>will be able to</w:t>
      </w:r>
      <w:r>
        <w:t xml:space="preserve"> find guidance, connect with resources, and never feel alone in the journey."*</w:t>
      </w:r>
    </w:p>
    <w:p>
      <w:pPr>
        <w:pStyle w:val="ListBullet"/>
        <w:ind w:left="360"/>
      </w:pPr>
      <w:r>
        <w:rPr>
          <w:b/>
        </w:rPr>
        <w:t>Sentence template for each offering</w:t>
      </w:r>
      <w:r>
        <w:t xml:space="preserve"> — always "families will be able to…":</w:t>
      </w:r>
    </w:p>
    <w:p>
      <w:pPr>
        <w:pStyle w:val="ListBullet"/>
        <w:ind w:left="720"/>
      </w:pPr>
      <w:r>
        <w:rPr>
          <w:i/>
        </w:rPr>
        <w:t xml:space="preserve">"Families </w:t>
      </w:r>
      <w:r>
        <w:rPr>
          <w:i/>
        </w:rPr>
        <w:t>will be able to</w:t>
      </w:r>
      <w:r>
        <w:rPr>
          <w:i/>
        </w:rPr>
        <w:t xml:space="preserve"> access curated resources for navigating diagnosis, treatment options, and second opinions."</w:t>
      </w:r>
    </w:p>
    <w:p>
      <w:pPr>
        <w:pStyle w:val="ListBullet"/>
        <w:ind w:left="720"/>
      </w:pPr>
      <w:r>
        <w:rPr>
          <w:i/>
        </w:rPr>
        <w:t xml:space="preserve">"Families </w:t>
      </w:r>
      <w:r>
        <w:rPr>
          <w:i/>
        </w:rPr>
        <w:t>will be able to</w:t>
      </w:r>
      <w:r>
        <w:rPr>
          <w:i/>
        </w:rPr>
        <w:t xml:space="preserve"> connect with support that helps ease the practical and emotional weight of a DIPG diagnosis."</w:t>
      </w:r>
    </w:p>
    <w:p>
      <w:pPr>
        <w:pStyle w:val="ListBullet"/>
        <w:ind w:left="720"/>
      </w:pPr>
      <w:r>
        <w:rPr>
          <w:i/>
        </w:rPr>
        <w:t xml:space="preserve">"We </w:t>
      </w:r>
      <w:r>
        <w:rPr>
          <w:i/>
        </w:rPr>
        <w:t>are working to</w:t>
      </w:r>
      <w:r>
        <w:rPr>
          <w:i/>
        </w:rPr>
        <w:t xml:space="preserve"> provide families with clear, trustworthy information at the moment they need it most."</w:t>
      </w:r>
    </w:p>
    <w:p>
      <w:pPr>
        <w:pStyle w:val="ListBullet"/>
        <w:ind w:left="360"/>
      </w:pPr>
      <w:r>
        <w:rPr>
          <w:b/>
        </w:rPr>
        <w:t>Avoid:</w:t>
      </w:r>
      <w:r>
        <w:t xml:space="preserve"> "We organize," "We provide," "We connect you with the world's top doctors," "Our program</w:t>
      </w:r>
    </w:p>
    <w:p>
      <w:r>
        <w:t xml:space="preserve">  supports…" — anything that states an active, delivered service.</w:t>
      </w:r>
    </w:p>
    <w:p>
      <w:pPr>
        <w:pStyle w:val="Heading2"/>
      </w:pPr>
      <w:r>
        <w:t>C2. Research / Impact page</w:t>
      </w:r>
    </w:p>
    <w:p>
      <w:pPr>
        <w:pStyle w:val="ListBullet"/>
        <w:ind w:left="360"/>
      </w:pPr>
      <w:r>
        <w:t xml:space="preserve">Present research funding as </w:t>
      </w:r>
      <w:r>
        <w:rPr>
          <w:b/>
        </w:rPr>
        <w:t>future intent</w:t>
      </w:r>
      <w:r>
        <w:t xml:space="preserve">: </w:t>
      </w:r>
      <w:r>
        <w:rPr>
          <w:i/>
        </w:rPr>
        <w:t xml:space="preserve">"The Brave Ronil Foundation </w:t>
      </w:r>
      <w:r>
        <w:rPr>
          <w:i/>
        </w:rPr>
        <w:t>will fund</w:t>
      </w:r>
      <w:r>
        <w:t>* research</w:t>
      </w:r>
    </w:p>
    <w:p>
      <w:r>
        <w:t xml:space="preserve">  grants and clinical trials that bring us closer to a cure."</w:t>
      </w:r>
      <w:r>
        <w:rPr>
          <w:i/>
        </w:rPr>
        <w:t xml:space="preserve"> Do </w:t>
      </w:r>
      <w:r>
        <w:rPr>
          <w:i/>
        </w:rPr>
        <w:t>not</w:t>
      </w:r>
      <w:r>
        <w:t>* list previously funded</w:t>
      </w:r>
    </w:p>
    <w:p>
      <w:r>
        <w:t xml:space="preserve">  grants as BRF's own.</w:t>
      </w:r>
    </w:p>
    <w:p>
      <w:pPr>
        <w:pStyle w:val="ListBullet"/>
        <w:ind w:left="360"/>
      </w:pPr>
      <w:r>
        <w:t>Any past accomplishments shown on the Impact page must be attributed to the **co-founders' prior</w:t>
      </w:r>
    </w:p>
    <w:p>
      <w:r>
        <w:t xml:space="preserve">  work** (past tense, neutral phrasing such as "before founding the Brave Ronil Foundation") — never</w:t>
      </w:r>
    </w:p>
    <w:p>
      <w:r>
        <w:t xml:space="preserve">  as BRF's record. (See the earlier change request, item 5.)</w:t>
      </w:r>
    </w:p>
    <w:p>
      <w:pPr>
        <w:pStyle w:val="Heading2"/>
      </w:pPr>
      <w:r>
        <w:t>C3. Everywhere else</w:t>
      </w:r>
    </w:p>
    <w:p>
      <w:pPr>
        <w:pStyle w:val="ListBullet"/>
        <w:ind w:left="360"/>
      </w:pPr>
      <w:r>
        <w:t xml:space="preserve">When in doubt, ask: </w:t>
      </w:r>
      <w:r>
        <w:rPr>
          <w:i/>
        </w:rPr>
        <w:t>"Has BRF actually done this yet?"</w:t>
      </w:r>
      <w:r>
        <w:t xml:space="preserve"> If not, write it as </w:t>
      </w:r>
      <w:r>
        <w:rPr>
          <w:b/>
        </w:rPr>
        <w:t>"we will,"</w:t>
      </w:r>
      <w:r>
        <w:t xml:space="preserve"> **"we're</w:t>
      </w:r>
    </w:p>
    <w:p>
      <w:r>
        <w:t xml:space="preserve">  building,"</w:t>
      </w:r>
      <w:r>
        <w:rPr>
          <w:b/>
        </w:rPr>
        <w:t xml:space="preserve"> or </w:t>
      </w:r>
      <w:r>
        <w:t>"families will be able to."**</w:t>
      </w:r>
    </w:p>
    <w:p>
      <w:pPr>
        <w:pStyle w:val="ListBullet"/>
        <w:ind w:left="360"/>
      </w:pPr>
      <w:r>
        <w:t>BRF's own future plans can be shown clearly labeled as such — e.g., a **"What we're working</w:t>
      </w:r>
    </w:p>
    <w:p>
      <w:r>
        <w:t xml:space="preserve">  toward"</w:t>
      </w:r>
      <w:r>
        <w:rPr>
          <w:b/>
        </w:rPr>
        <w:t xml:space="preserve"> or </w:t>
      </w:r>
      <w:r>
        <w:t>"Our first initiatives"** section — kept visually distinct from anything historical.</w:t>
      </w:r>
    </w:p>
    <w:p>
      <w:pPr>
        <w:pStyle w:val="Heading1"/>
      </w:pPr>
      <w:r>
        <w:rPr>
          <w:color w:val="219839"/>
        </w:rPr>
        <w:t>Owner to-dos referenced above</w:t>
      </w:r>
    </w:p>
    <w:p>
      <w:pPr>
        <w:pStyle w:val="ListBullet"/>
        <w:ind w:left="360"/>
      </w:pPr>
      <w:r>
        <w:t xml:space="preserve">Provide real </w:t>
      </w:r>
      <w:r>
        <w:rPr>
          <w:b/>
        </w:rPr>
        <w:t>photos of Ronil</w:t>
      </w:r>
      <w:r>
        <w:t xml:space="preserve"> for the Meet Ronil page and homepage section.</w:t>
      </w:r>
    </w:p>
    <w:p>
      <w:pPr>
        <w:pStyle w:val="ListBullet"/>
        <w:ind w:left="360"/>
      </w:pPr>
      <w:r>
        <w:t xml:space="preserve">Have a </w:t>
      </w:r>
      <w:r>
        <w:rPr>
          <w:b/>
        </w:rPr>
        <w:t>medical advisor review</w:t>
      </w:r>
      <w:r>
        <w:t xml:space="preserve"> the final statistics before launch.</w:t>
      </w:r>
    </w:p>
    <w:p>
      <w:pPr>
        <w:pStyle w:val="ListBullet"/>
        <w:ind w:left="360"/>
      </w:pPr>
      <w:r>
        <w:t xml:space="preserve">Confirm the </w:t>
      </w:r>
      <w:r>
        <w:rPr>
          <w:b/>
        </w:rPr>
        <w:t>About DIPG</w:t>
      </w:r>
      <w:r>
        <w:t xml:space="preserve"> page's current numbers so they can be reconciled to Section A2 (share the live page).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