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Pr="00110667" w:rsidRDefault="00920386" w:rsidP="00C004E0">
      <w:pPr>
        <w:pStyle w:val="a3"/>
        <w:ind w:left="1211" w:firstLine="0"/>
        <w:outlineLvl w:val="0"/>
        <w:rPr>
          <w:b/>
          <w:sz w:val="40"/>
          <w:szCs w:val="40"/>
        </w:rPr>
      </w:pPr>
      <w:bookmarkStart w:id="0" w:name="_Toc326089519"/>
      <w:r w:rsidRPr="00110667">
        <w:rPr>
          <w:b/>
          <w:sz w:val="40"/>
          <w:szCs w:val="40"/>
        </w:rPr>
        <w:t>Охрана труда и защита окружающей среды</w:t>
      </w:r>
      <w:bookmarkEnd w:id="0"/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Default="00920386" w:rsidP="00920386">
      <w:pPr>
        <w:rPr>
          <w:szCs w:val="28"/>
        </w:rPr>
      </w:pPr>
    </w:p>
    <w:p w:rsidR="00920386" w:rsidRPr="0079245F" w:rsidRDefault="00920386" w:rsidP="00920386">
      <w:pPr>
        <w:pStyle w:val="a3"/>
        <w:numPr>
          <w:ilvl w:val="1"/>
          <w:numId w:val="1"/>
        </w:numPr>
        <w:jc w:val="center"/>
        <w:outlineLvl w:val="1"/>
        <w:rPr>
          <w:rFonts w:cs="Times New Roman"/>
          <w:b/>
          <w:sz w:val="32"/>
          <w:szCs w:val="32"/>
        </w:rPr>
      </w:pPr>
      <w:bookmarkStart w:id="1" w:name="_Toc326089520"/>
      <w:bookmarkStart w:id="2" w:name="_GoBack"/>
      <w:r w:rsidRPr="0079245F">
        <w:rPr>
          <w:rFonts w:cs="Times New Roman"/>
          <w:b/>
          <w:sz w:val="32"/>
          <w:szCs w:val="32"/>
        </w:rPr>
        <w:t xml:space="preserve">Обеспечение безопасности труда при производстве </w:t>
      </w:r>
      <w:r w:rsidR="004636FA">
        <w:rPr>
          <w:rFonts w:cs="Times New Roman"/>
          <w:b/>
          <w:sz w:val="32"/>
          <w:szCs w:val="32"/>
        </w:rPr>
        <w:t>блока</w:t>
      </w:r>
      <w:r>
        <w:rPr>
          <w:rFonts w:cs="Times New Roman"/>
          <w:b/>
          <w:sz w:val="32"/>
          <w:szCs w:val="32"/>
        </w:rPr>
        <w:t xml:space="preserve"> регулятора цикла сварки</w:t>
      </w:r>
      <w:bookmarkEnd w:id="1"/>
    </w:p>
    <w:p w:rsidR="00920386" w:rsidRPr="005C4E90" w:rsidRDefault="00920386" w:rsidP="00920386">
      <w:pPr>
        <w:pStyle w:val="a3"/>
        <w:numPr>
          <w:ilvl w:val="2"/>
          <w:numId w:val="1"/>
        </w:numPr>
        <w:ind w:left="142" w:firstLine="567"/>
        <w:jc w:val="center"/>
        <w:outlineLvl w:val="2"/>
        <w:rPr>
          <w:rFonts w:cs="Times New Roman"/>
          <w:szCs w:val="28"/>
        </w:rPr>
      </w:pPr>
      <w:bookmarkStart w:id="3" w:name="_Toc326089521"/>
      <w:r w:rsidRPr="005C4E90">
        <w:rPr>
          <w:rFonts w:cs="Times New Roman"/>
          <w:b/>
          <w:szCs w:val="32"/>
        </w:rPr>
        <w:t xml:space="preserve">Оценка безопасности труда при производстве </w:t>
      </w:r>
      <w:r>
        <w:rPr>
          <w:rFonts w:cs="Times New Roman"/>
          <w:b/>
          <w:szCs w:val="32"/>
        </w:rPr>
        <w:t>блок</w:t>
      </w:r>
      <w:r w:rsidR="004636FA">
        <w:rPr>
          <w:rFonts w:cs="Times New Roman"/>
          <w:b/>
          <w:szCs w:val="32"/>
        </w:rPr>
        <w:t>а</w:t>
      </w:r>
      <w:r>
        <w:rPr>
          <w:rFonts w:cs="Times New Roman"/>
          <w:b/>
          <w:szCs w:val="32"/>
        </w:rPr>
        <w:t xml:space="preserve"> регулятора цикла сварки</w:t>
      </w:r>
      <w:bookmarkEnd w:id="3"/>
    </w:p>
    <w:p w:rsidR="00920386" w:rsidRPr="005C4E90" w:rsidRDefault="00920386" w:rsidP="00920386">
      <w:pPr>
        <w:outlineLvl w:val="2"/>
        <w:rPr>
          <w:rFonts w:cs="Times New Roman"/>
          <w:szCs w:val="28"/>
        </w:rPr>
      </w:pPr>
    </w:p>
    <w:p w:rsidR="00920386" w:rsidRPr="00920386" w:rsidRDefault="00920386" w:rsidP="00556765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На этапе производства</w:t>
      </w:r>
      <w:r w:rsidRPr="0092038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модуля измерения параметров радиоимпульсов (блок регулятора цикла сварки)</w:t>
      </w:r>
      <w:r w:rsidRPr="00920386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вредными и опасными факторами являются: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eastAsia="Calibri"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воздействие СВЧ-излучения;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повышенное содержание в воздушной среде паров олова и свинца, возникающие при пайке</w:t>
      </w:r>
      <w:r w:rsidRPr="00920386">
        <w:rPr>
          <w:rFonts w:cs="Times New Roman"/>
          <w:bCs/>
          <w:color w:val="000000"/>
          <w:szCs w:val="28"/>
        </w:rPr>
        <w:t xml:space="preserve"> элементов на</w:t>
      </w:r>
      <w:r w:rsidRPr="00920386">
        <w:rPr>
          <w:rFonts w:eastAsia="Calibri" w:cs="Times New Roman"/>
          <w:bCs/>
          <w:color w:val="000000"/>
          <w:szCs w:val="28"/>
        </w:rPr>
        <w:t xml:space="preserve"> печатн</w:t>
      </w:r>
      <w:r w:rsidRPr="00920386">
        <w:rPr>
          <w:rFonts w:cs="Times New Roman"/>
          <w:bCs/>
          <w:color w:val="000000"/>
          <w:szCs w:val="28"/>
        </w:rPr>
        <w:t>ые</w:t>
      </w:r>
      <w:r w:rsidRPr="00920386">
        <w:rPr>
          <w:rFonts w:eastAsia="Calibri" w:cs="Times New Roman"/>
          <w:bCs/>
          <w:color w:val="000000"/>
          <w:szCs w:val="28"/>
        </w:rPr>
        <w:t xml:space="preserve"> плат</w:t>
      </w:r>
      <w:r w:rsidRPr="00920386">
        <w:rPr>
          <w:rFonts w:cs="Times New Roman"/>
          <w:bCs/>
          <w:color w:val="000000"/>
          <w:szCs w:val="28"/>
        </w:rPr>
        <w:t>ы и сборке блока регулятора цикла сварки</w:t>
      </w:r>
      <w:r w:rsidRPr="00920386">
        <w:rPr>
          <w:rFonts w:eastAsia="Calibri" w:cs="Times New Roman"/>
          <w:bCs/>
          <w:color w:val="000000"/>
          <w:szCs w:val="28"/>
        </w:rPr>
        <w:t>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испарение летучих компонентов при покрытии плат защитным лаком</w:t>
      </w:r>
      <w:r w:rsidRPr="00920386">
        <w:rPr>
          <w:rFonts w:cs="Times New Roman"/>
          <w:bCs/>
          <w:color w:val="000000"/>
          <w:szCs w:val="28"/>
        </w:rPr>
        <w:t>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опасность поражения электрическим током;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cs="Times New Roman"/>
          <w:bCs/>
          <w:color w:val="000000"/>
          <w:szCs w:val="28"/>
        </w:rPr>
      </w:pPr>
      <w:r w:rsidRPr="00920386">
        <w:rPr>
          <w:rFonts w:cs="Times New Roman"/>
          <w:szCs w:val="28"/>
        </w:rPr>
        <w:t>опасность возникновения пожара;</w:t>
      </w:r>
    </w:p>
    <w:p w:rsidR="00920386" w:rsidRPr="00920386" w:rsidRDefault="00920386" w:rsidP="00556765">
      <w:pPr>
        <w:pStyle w:val="a3"/>
        <w:numPr>
          <w:ilvl w:val="0"/>
          <w:numId w:val="2"/>
        </w:numPr>
        <w:ind w:left="426"/>
        <w:rPr>
          <w:rFonts w:eastAsia="Calibri" w:cs="Times New Roman"/>
          <w:spacing w:val="-7"/>
          <w:w w:val="109"/>
          <w:szCs w:val="28"/>
        </w:rPr>
      </w:pPr>
      <w:r w:rsidRPr="00920386">
        <w:rPr>
          <w:rFonts w:eastAsia="Calibri" w:cs="Times New Roman"/>
          <w:bCs/>
          <w:color w:val="000000"/>
          <w:szCs w:val="28"/>
        </w:rPr>
        <w:t>н</w:t>
      </w:r>
      <w:r w:rsidRPr="00920386">
        <w:rPr>
          <w:rFonts w:eastAsia="Calibri" w:cs="Times New Roman"/>
          <w:spacing w:val="-7"/>
          <w:w w:val="109"/>
          <w:szCs w:val="28"/>
        </w:rPr>
        <w:t>едостаточная естественная освещенность рабочего места;</w:t>
      </w:r>
    </w:p>
    <w:p w:rsidR="00920386" w:rsidRPr="00920386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920386">
        <w:rPr>
          <w:rFonts w:ascii="Times New Roman" w:hAnsi="Times New Roman" w:cs="Times New Roman"/>
          <w:sz w:val="28"/>
          <w:szCs w:val="28"/>
        </w:rPr>
        <w:t>Вследствие  этого возникают задачи по обеспечению производственной и экологической безопасности технологического процесса изготовления блок регулятора цикла сварки.</w:t>
      </w:r>
    </w:p>
    <w:p w:rsidR="00920386" w:rsidRPr="00920386" w:rsidRDefault="00920386" w:rsidP="00920386">
      <w:pPr>
        <w:rPr>
          <w:rFonts w:ascii="Times New Roman" w:hAnsi="Times New Roman" w:cs="Times New Roman"/>
          <w:sz w:val="28"/>
          <w:szCs w:val="28"/>
        </w:rPr>
      </w:pPr>
    </w:p>
    <w:p w:rsidR="00920386" w:rsidRPr="00556765" w:rsidRDefault="00920386" w:rsidP="00556765">
      <w:pPr>
        <w:pStyle w:val="a3"/>
        <w:numPr>
          <w:ilvl w:val="2"/>
          <w:numId w:val="1"/>
        </w:numPr>
        <w:jc w:val="center"/>
        <w:outlineLvl w:val="2"/>
        <w:rPr>
          <w:rFonts w:cs="Times New Roman"/>
          <w:szCs w:val="28"/>
        </w:rPr>
      </w:pPr>
      <w:bookmarkStart w:id="4" w:name="_Toc326089522"/>
      <w:r w:rsidRPr="00920386">
        <w:rPr>
          <w:rFonts w:eastAsia="Calibri" w:cs="Times New Roman"/>
          <w:b/>
          <w:szCs w:val="28"/>
        </w:rPr>
        <w:t xml:space="preserve">Обеспечение нормативных требований микроклимата на этапе </w:t>
      </w:r>
      <w:proofErr w:type="gramStart"/>
      <w:r w:rsidRPr="00920386">
        <w:rPr>
          <w:rFonts w:eastAsia="Calibri" w:cs="Times New Roman"/>
          <w:b/>
          <w:szCs w:val="28"/>
        </w:rPr>
        <w:t>сборки блока регулятора цикла сварки</w:t>
      </w:r>
      <w:bookmarkEnd w:id="4"/>
      <w:proofErr w:type="gramEnd"/>
    </w:p>
    <w:p w:rsidR="00556765" w:rsidRPr="00556765" w:rsidRDefault="00556765" w:rsidP="00556765">
      <w:pPr>
        <w:ind w:left="851"/>
        <w:jc w:val="center"/>
        <w:outlineLvl w:val="2"/>
        <w:rPr>
          <w:rFonts w:cs="Times New Roman"/>
          <w:szCs w:val="28"/>
        </w:rPr>
      </w:pP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Метеорологические условия в производственном помещении на операции «пайка» характеризуются следующими вредными факторами: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повышенная или пониженная температура рабочей зоны;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– пониженная влажность воздуха;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повышенная или пониженная подвижность воздуха;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интенсивность теплового излучения.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lastRenderedPageBreak/>
        <w:t xml:space="preserve">Повышенная температура воздуха рабочей зоны вызывает быструю утомляемость и 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обильное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потовыделение. Это ведет к снижению внимания и может привести к несчастному случаю. Пониженная температура может вызвать местное и общее охлаждение организма и стать причиной простудных заболеваний.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Повышенная влажность воздуха затрудняет испарение влаги с поверхности кожи и легких, что резко ухудшает состояние и снижает работоспособность человека. При пониженной влажности до 20% у человека возникает неприятное ощущение сухости слизистых оболочек верхних дыхательных путей.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При длительном пребывании человека в зоне интенсивного теплового излучения происходит изменение теплового баланса в организме, усиливается деятельность 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сердечно-сосудистой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и дыхательной системы, увеличиваются потоотделение, потери нужных организму солей. Обеднение организма водой вызывает сгущение крови, ухудшение питания тканей и органов. Нарушение теплового баланса приводит к перегреву организма, а водно-солевого – к развитию судорожной болезни, характеризующейся появлением резких судорог, преимущественно в конечностях.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Скорость движения воздуха в пределах 0,25…3 м/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способствует 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увеличению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отдачи тепла с поверхности тела вследствие конвекции, однако при низких температурах окружающего воздуха увеличение скорости движения воздуха может привести к переохлаждению организма.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Согласно ГОСТ </w:t>
      </w:r>
      <w:r w:rsidRPr="00920386">
        <w:rPr>
          <w:rFonts w:ascii="Times New Roman" w:eastAsia="Calibri" w:hAnsi="Times New Roman" w:cs="Times New Roman"/>
          <w:color w:val="000000"/>
          <w:sz w:val="28"/>
          <w:szCs w:val="28"/>
        </w:rPr>
        <w:t>12.1.005-88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«Общие санитарно-гигиенические требования к воздуху рабочей зоны»  операция «пайка» относится к физической работе «легкой тяжести» категории </w:t>
      </w:r>
      <w:proofErr w:type="spellStart"/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I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б</w:t>
      </w:r>
      <w:proofErr w:type="spell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и характеризуется следующими показателями: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температура в холодное время года: +21…+23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sym w:font="Symbol" w:char="00B0"/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температура в теплое время года: +22…+24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sym w:font="Symbol" w:char="00B0"/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влажность воздуха: 40…60%;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скорость движения воздуха в холодное время года: 0,1 м/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;</w:t>
      </w:r>
    </w:p>
    <w:p w:rsidR="00920386" w:rsidRPr="00920386" w:rsidRDefault="00920386" w:rsidP="00556765">
      <w:pPr>
        <w:shd w:val="clear" w:color="auto" w:fill="FFFFFF"/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– оптимальная скорость движения воздуха в теплое время года: 0,2 м/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;</w:t>
      </w:r>
    </w:p>
    <w:p w:rsidR="00920386" w:rsidRPr="00920386" w:rsidRDefault="00920386" w:rsidP="00556765">
      <w:pPr>
        <w:ind w:firstLine="426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– интенсивность теплового облучения работающих от нагретых поверхностей технологического оборудования, осветительных приборов,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lastRenderedPageBreak/>
        <w:t>инсоляции на постоянных и непостоянных рабочих местах не должна превышать 35 Вт/м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vertAlign w:val="superscript"/>
        </w:rPr>
        <w:t>2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при облучении 50% поверхности тела.</w:t>
      </w:r>
    </w:p>
    <w:p w:rsidR="00920386" w:rsidRPr="00920386" w:rsidRDefault="00920386" w:rsidP="00556765">
      <w:pPr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Интенсивность теплового облучения работающих от открытых источников (нагретый металл, стекло, “открытое” пламя и др.) не должна превышать 140 Вт/м</w:t>
      </w:r>
      <w:proofErr w:type="gram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  <w:vertAlign w:val="superscript"/>
        </w:rPr>
        <w:t>2</w:t>
      </w:r>
      <w:proofErr w:type="gram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, при этом облучению не должно подвергаться более 25% поверхности тела, и обязательным является использование средств индивидуальной защиты, в том числе средств защиты лица и глаз.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Для создания метеорологических условий, соответствующих нормативным документам, в производственном помещении применяется </w:t>
      </w:r>
      <w:proofErr w:type="spell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общеобменная</w:t>
      </w:r>
      <w:proofErr w:type="spell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приточно-вытяжная вентиляция с механическим возбуждением. Подогрев воздуха приточной вентиляции производится в калориферных установках. В качестве дежурного отопления применяется система водяного отопления с радиаторами М140 и температурой теплоносителя не выше 100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sym w:font="Symbol" w:char="00B0"/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С.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При вдыхании </w:t>
      </w:r>
      <w:r w:rsidRPr="00920386">
        <w:rPr>
          <w:rFonts w:ascii="Times New Roman" w:hAnsi="Times New Roman" w:cs="Times New Roman"/>
          <w:bCs/>
          <w:color w:val="000000"/>
          <w:sz w:val="28"/>
          <w:szCs w:val="28"/>
        </w:rPr>
        <w:t>летучих компонентов лака</w:t>
      </w:r>
      <w:r w:rsidRPr="009203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, </w:t>
      </w: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растворов для обезжиривания, промывки и химической очистки плат появляются раздражения слизистой оболочки дыхательных путей, отеки слизистой, возникают различные отравления. При попадании на кожу могут появиться отеки, раздражения, химические ожоги. Длительное воздействие приводит к развитию у персонала хронических</w:t>
      </w:r>
      <w:r w:rsidRPr="00920386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заболеваний кожи (дерматитов).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Вдыхание паров олова и свинца при пайке плат приводит чрезвычайно быстро к тяжелым свинцовым отравлениям с серьезными расстройствами всех функций организма.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Для защиты рабочего персонала от вредных и опасных газовых и парообразных выделений используется </w:t>
      </w:r>
      <w:proofErr w:type="spellStart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общеобменная</w:t>
      </w:r>
      <w:proofErr w:type="spellEnd"/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 xml:space="preserve"> и местная вентиляция, ванны и другие ёмкости с химическими растворами и расплавами оборудуются автоматическими системами и герметизируются.</w:t>
      </w:r>
    </w:p>
    <w:p w:rsidR="00920386" w:rsidRPr="00920386" w:rsidRDefault="00920386" w:rsidP="00556765">
      <w:pPr>
        <w:shd w:val="clear" w:color="auto" w:fill="FFFFFF"/>
        <w:jc w:val="both"/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</w:pPr>
      <w:r w:rsidRPr="00920386">
        <w:rPr>
          <w:rFonts w:ascii="Times New Roman" w:eastAsia="Calibri" w:hAnsi="Times New Roman" w:cs="Times New Roman"/>
          <w:bCs/>
          <w:iCs/>
          <w:color w:val="000000"/>
          <w:sz w:val="28"/>
          <w:szCs w:val="28"/>
        </w:rPr>
        <w:t>Для защиты от попадания вредных и опасных веществ на кожу и слизистые оболочки также используется халаты, фартуки, перчатки, специальная обувь, очки, щитки и т.д.</w:t>
      </w:r>
    </w:p>
    <w:p w:rsidR="00920386" w:rsidRDefault="00920386" w:rsidP="00920386">
      <w:pPr>
        <w:shd w:val="clear" w:color="auto" w:fill="FFFFFF"/>
        <w:ind w:firstLine="567"/>
        <w:rPr>
          <w:rFonts w:eastAsia="Calibri" w:cs="Times New Roman"/>
          <w:bCs/>
          <w:iCs/>
          <w:color w:val="000000"/>
          <w:szCs w:val="28"/>
        </w:rPr>
      </w:pPr>
    </w:p>
    <w:p w:rsidR="00920386" w:rsidRDefault="00920386" w:rsidP="00556765">
      <w:pPr>
        <w:pStyle w:val="a3"/>
        <w:numPr>
          <w:ilvl w:val="2"/>
          <w:numId w:val="1"/>
        </w:numPr>
        <w:shd w:val="clear" w:color="auto" w:fill="FFFFFF"/>
        <w:outlineLvl w:val="2"/>
        <w:rPr>
          <w:rFonts w:eastAsia="Calibri" w:cs="Times New Roman"/>
          <w:b/>
          <w:szCs w:val="28"/>
        </w:rPr>
      </w:pPr>
      <w:bookmarkStart w:id="5" w:name="_Toc326089523"/>
      <w:r w:rsidRPr="00556765">
        <w:rPr>
          <w:rFonts w:eastAsia="Calibri" w:cs="Times New Roman"/>
          <w:b/>
          <w:szCs w:val="28"/>
        </w:rPr>
        <w:t xml:space="preserve">Обеспечение защиты от воздействия СВЧ-излучения на этапе </w:t>
      </w:r>
      <w:proofErr w:type="gramStart"/>
      <w:r w:rsidRPr="00556765">
        <w:rPr>
          <w:rFonts w:eastAsia="Calibri" w:cs="Times New Roman"/>
          <w:b/>
          <w:szCs w:val="28"/>
        </w:rPr>
        <w:t>настройки блок</w:t>
      </w:r>
      <w:r w:rsidR="004636FA">
        <w:rPr>
          <w:rFonts w:eastAsia="Calibri" w:cs="Times New Roman"/>
          <w:b/>
          <w:szCs w:val="28"/>
        </w:rPr>
        <w:t>а</w:t>
      </w:r>
      <w:r w:rsidRPr="00556765">
        <w:rPr>
          <w:rFonts w:eastAsia="Calibri" w:cs="Times New Roman"/>
          <w:b/>
          <w:szCs w:val="28"/>
        </w:rPr>
        <w:t xml:space="preserve"> регулятора цикла сварки</w:t>
      </w:r>
      <w:bookmarkEnd w:id="5"/>
      <w:proofErr w:type="gramEnd"/>
    </w:p>
    <w:p w:rsidR="00556765" w:rsidRPr="00556765" w:rsidRDefault="00556765" w:rsidP="00556765">
      <w:pPr>
        <w:shd w:val="clear" w:color="auto" w:fill="FFFFFF"/>
        <w:ind w:left="851"/>
        <w:outlineLvl w:val="2"/>
        <w:rPr>
          <w:rFonts w:eastAsia="Calibri" w:cs="Times New Roman"/>
          <w:b/>
          <w:szCs w:val="28"/>
        </w:rPr>
      </w:pP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lastRenderedPageBreak/>
        <w:t>Применение в промышленности систем, связанных с генерированием, передачей и использованием энергии электромагнитных колебаний, сопровождается возникновением в окружающей среде электромагнитных полей. При превышении допустимых уровней воздействия электромагнитного поля на человека у него может возникнуть профессиональное заболевание, а именно: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катаракта;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дегенеративно-дистрофические заболевания сетчатки глаза;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выраженная вегетативно-сосудистая дистония;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астенический синдром;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астеновегетативный синдром;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– гипоталамический синдром.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Степень  воздействия  электромагнитных  полей  СВЧ  зависит  от  интенсивности  облучения,  длительности  его  воздействия,  расстояния  от  источника  и  индивидуальной  чувствительности  организма.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 xml:space="preserve">Длительное  и  систематическое  воздействие  СВЧ  энергии  на  </w:t>
      </w:r>
      <w:proofErr w:type="gramStart"/>
      <w:r w:rsidRPr="00556765">
        <w:rPr>
          <w:rFonts w:cs="Times New Roman"/>
          <w:szCs w:val="28"/>
        </w:rPr>
        <w:t>работающих</w:t>
      </w:r>
      <w:proofErr w:type="gramEnd"/>
      <w:r w:rsidRPr="00556765">
        <w:rPr>
          <w:rFonts w:cs="Times New Roman"/>
          <w:szCs w:val="28"/>
        </w:rPr>
        <w:t xml:space="preserve">  с  интенсивностью  превышающей  предельно  допустимые  величины,  приводит  к  функциональным  изменениям  в  организме.  Эти  изменения  проявляются  в  нарушении  функционального  состояния  нервной  и  </w:t>
      </w:r>
      <w:proofErr w:type="gramStart"/>
      <w:r w:rsidRPr="00556765">
        <w:rPr>
          <w:rFonts w:cs="Times New Roman"/>
          <w:szCs w:val="28"/>
        </w:rPr>
        <w:t>сердечно-сосудистой</w:t>
      </w:r>
      <w:proofErr w:type="gramEnd"/>
      <w:r w:rsidRPr="00556765">
        <w:rPr>
          <w:rFonts w:cs="Times New Roman"/>
          <w:szCs w:val="28"/>
        </w:rPr>
        <w:t xml:space="preserve">  системы:  появляется  головная  боль,  нарушается  сон,  замедляется  пульс,  повышается  кровяное  давление.  Большая  часть  экспериментальных  результатов  свидетельствует  о  том,  что  последствия  СВЧ  облучения,  прежде  всего,  связаны  с  гипертермией  или  нарушением  тепловых  градиентов.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 xml:space="preserve">Предельно  допустимую  плотность  потока  мощности  электромагнитного  поля  в  диапазоне  частот  300 МГц … 300 ГГц  на  рабочих  местах  и  в  местах  возможного  нахождения  персонала,  связанного  профессионально  с  воздействием  электромагнитного  поля,  устанавливается  исходя  из  допустимого  значения  энергетической  </w:t>
      </w:r>
      <w:r w:rsidRPr="00556765">
        <w:rPr>
          <w:rFonts w:cs="Times New Roman"/>
          <w:szCs w:val="28"/>
        </w:rPr>
        <w:lastRenderedPageBreak/>
        <w:t>нагрузки  на  организм  и  времени  пребывания  в  зоне  облучения,  однако  во  всех  случаях  она  не  должна  превышать  1000 мкВт/см</w:t>
      </w:r>
      <w:proofErr w:type="gramStart"/>
      <w:r w:rsidRPr="00556765">
        <w:rPr>
          <w:rFonts w:cs="Times New Roman"/>
          <w:szCs w:val="28"/>
          <w:vertAlign w:val="superscript"/>
        </w:rPr>
        <w:t>2</w:t>
      </w:r>
      <w:proofErr w:type="gramEnd"/>
      <w:r w:rsidRPr="00556765">
        <w:rPr>
          <w:rFonts w:cs="Times New Roman"/>
          <w:szCs w:val="28"/>
        </w:rPr>
        <w:t>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Предельно  допустимую  плотность  потока  мощности  электромагнитного  поля  определяют  по  формуле 8.</w:t>
      </w:r>
    </w:p>
    <w:p w:rsidR="00920386" w:rsidRPr="00556765" w:rsidRDefault="00920386" w:rsidP="00556765">
      <w:pPr>
        <w:pStyle w:val="a4"/>
        <w:spacing w:line="360" w:lineRule="auto"/>
        <w:ind w:left="0"/>
        <w:jc w:val="both"/>
        <w:rPr>
          <w:sz w:val="28"/>
          <w:szCs w:val="28"/>
        </w:rPr>
      </w:pPr>
      <m:oMathPara>
        <m:oMathParaPr>
          <m:jc m:val="right"/>
        </m:oMathParaPr>
        <m:oMath>
          <m:r>
            <m:rPr>
              <m:nor/>
            </m:rPr>
            <w:rPr>
              <w:i/>
              <w:sz w:val="28"/>
              <w:szCs w:val="28"/>
            </w:rPr>
            <m:t>П=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i/>
                  <w:sz w:val="28"/>
                  <w:szCs w:val="28"/>
                  <w:lang w:val="en-US"/>
                </w:rPr>
                <m:t>W</m:t>
              </m:r>
            </m:num>
            <m:den>
              <m:r>
                <m:rPr>
                  <m:nor/>
                </m:rPr>
                <w:rPr>
                  <w:i/>
                  <w:sz w:val="28"/>
                  <w:szCs w:val="28"/>
                </w:rPr>
                <m:t>T</m:t>
              </m:r>
            </m:den>
          </m:f>
          <m:r>
            <m:rPr>
              <m:nor/>
            </m:rPr>
            <w:rPr>
              <w:sz w:val="28"/>
              <w:szCs w:val="28"/>
            </w:rPr>
            <m:t xml:space="preserve">                                                                (8)</m:t>
          </m:r>
        </m:oMath>
      </m:oMathPara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 xml:space="preserve">где </w:t>
      </w:r>
      <w:r w:rsidRPr="00556765">
        <w:rPr>
          <w:rFonts w:cs="Times New Roman"/>
          <w:szCs w:val="28"/>
        </w:rPr>
        <w:tab/>
      </w:r>
      <w:proofErr w:type="gramStart"/>
      <m:oMath>
        <m:r>
          <m:rPr>
            <m:nor/>
          </m:rPr>
          <w:rPr>
            <w:rFonts w:cs="Times New Roman"/>
            <w:i/>
            <w:szCs w:val="28"/>
          </w:rPr>
          <m:t>П</m:t>
        </m:r>
      </m:oMath>
      <w:proofErr w:type="gramEnd"/>
      <w:r w:rsidRPr="00556765">
        <w:rPr>
          <w:rFonts w:cs="Times New Roman"/>
          <w:szCs w:val="28"/>
        </w:rPr>
        <w:t xml:space="preserve"> – предельно допустимая плотность потока мощности, мкВт/см</w:t>
      </w:r>
      <w:r w:rsidRPr="00556765">
        <w:rPr>
          <w:rFonts w:cs="Times New Roman"/>
          <w:szCs w:val="28"/>
          <w:vertAlign w:val="superscript"/>
        </w:rPr>
        <w:t>2</w:t>
      </w:r>
      <w:r w:rsidRPr="00556765">
        <w:rPr>
          <w:rFonts w:cs="Times New Roman"/>
          <w:szCs w:val="28"/>
        </w:rPr>
        <w:t>;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i/>
            <w:szCs w:val="28"/>
            <w:lang w:val="en-US"/>
          </w:rPr>
          <m:t>W</m:t>
        </m:r>
      </m:oMath>
      <w:r w:rsidRPr="00556765">
        <w:rPr>
          <w:rFonts w:cs="Times New Roman"/>
          <w:szCs w:val="28"/>
        </w:rPr>
        <w:t xml:space="preserve"> – нормированное значение допустимой энергетической нагрузки на организм, равное: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200 мкВт/см</w:t>
      </w:r>
      <w:proofErr w:type="gramStart"/>
      <w:r w:rsidRPr="00556765">
        <w:rPr>
          <w:rFonts w:cs="Times New Roman"/>
          <w:szCs w:val="28"/>
          <w:vertAlign w:val="superscript"/>
        </w:rPr>
        <w:t>2</w:t>
      </w:r>
      <w:proofErr w:type="gramEnd"/>
      <w:r w:rsidRPr="00556765">
        <w:rPr>
          <w:rFonts w:cs="Times New Roman"/>
          <w:szCs w:val="28"/>
        </w:rPr>
        <w:t xml:space="preserve"> – для всех случаев облучения, исключая облучения от вращающихся и сканирующих антенн;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2000 мкВт/см</w:t>
      </w:r>
      <w:proofErr w:type="gramStart"/>
      <w:r w:rsidRPr="00556765">
        <w:rPr>
          <w:rFonts w:cs="Times New Roman"/>
          <w:szCs w:val="28"/>
          <w:vertAlign w:val="superscript"/>
        </w:rPr>
        <w:t>2</w:t>
      </w:r>
      <w:proofErr w:type="gramEnd"/>
      <w:r w:rsidRPr="00556765">
        <w:rPr>
          <w:rFonts w:cs="Times New Roman"/>
          <w:szCs w:val="28"/>
        </w:rPr>
        <w:t xml:space="preserve"> – для случаев облучения от вращающихся и сканирующих антенн, ГОСТ 21953-76;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m:oMath>
        <m:r>
          <m:rPr>
            <m:nor/>
          </m:rPr>
          <w:rPr>
            <w:rFonts w:cs="Times New Roman"/>
            <w:i/>
            <w:szCs w:val="28"/>
          </w:rPr>
          <m:t>T</m:t>
        </m:r>
      </m:oMath>
      <w:r w:rsidRPr="00556765">
        <w:rPr>
          <w:rFonts w:cs="Times New Roman"/>
          <w:szCs w:val="28"/>
        </w:rPr>
        <w:t xml:space="preserve"> – время пребывания в зоне облучения, час.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szCs w:val="28"/>
        </w:rPr>
        <w:t>Плотность потока мощности на рабочем месте можно определить по формуле:</w:t>
      </w:r>
    </w:p>
    <w:p w:rsidR="00920386" w:rsidRPr="00556765" w:rsidRDefault="00920386" w:rsidP="00556765">
      <w:pPr>
        <w:pStyle w:val="a7"/>
        <w:ind w:firstLine="567"/>
        <w:rPr>
          <w:rFonts w:cs="Times New Roman"/>
          <w:bCs/>
          <w:i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П=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пер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4∙π∙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w:proofErr w:type="gramStart"/>
            <m:r>
              <w:rPr>
                <w:rFonts w:ascii="Cambria Math" w:hAnsi="Cambria Math" w:cs="Times New Roman"/>
                <w:szCs w:val="28"/>
              </w:rPr>
              <m:t>Р</m:t>
            </m:r>
            <w:proofErr w:type="gramEnd"/>
          </m:e>
          <m:sub>
            <m:r>
              <w:rPr>
                <w:rFonts w:ascii="Cambria Math" w:hAnsi="Cambria Math" w:cs="Times New Roman"/>
                <w:szCs w:val="28"/>
              </w:rPr>
              <m:t>пер</m:t>
            </m:r>
          </m:sub>
        </m:sSub>
      </m:oMath>
      <w:r w:rsidRPr="00556765">
        <w:rPr>
          <w:rFonts w:cs="Times New Roman"/>
          <w:bCs/>
          <w:szCs w:val="28"/>
        </w:rPr>
        <w:t xml:space="preserve"> – уровень  выходной  мощности  генератора;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i/>
          <w:szCs w:val="28"/>
        </w:rPr>
        <w:t xml:space="preserve">G </w:t>
      </w:r>
      <w:r w:rsidRPr="00556765">
        <w:rPr>
          <w:rFonts w:cs="Times New Roman"/>
          <w:bCs/>
          <w:szCs w:val="28"/>
        </w:rPr>
        <w:t>– коэффициент  усиления  антенны  в  разах;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i/>
          <w:szCs w:val="28"/>
        </w:rPr>
        <w:t xml:space="preserve">R </w:t>
      </w:r>
      <w:r w:rsidRPr="00556765">
        <w:rPr>
          <w:rFonts w:cs="Times New Roman"/>
          <w:bCs/>
          <w:szCs w:val="28"/>
        </w:rPr>
        <w:t>– расстояние  от  передающей  антенны  до  места  настройщика;</w:t>
      </w:r>
    </w:p>
    <w:p w:rsidR="00920386" w:rsidRPr="00556765" w:rsidRDefault="003F2D14" w:rsidP="00556765">
      <w:pPr>
        <w:pStyle w:val="a7"/>
        <w:rPr>
          <w:rFonts w:cs="Times New Roman"/>
          <w:b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Cs w:val="28"/>
              </w:rPr>
              <m:t>пер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=200 Вт</m:t>
        </m:r>
      </m:oMath>
      <w:r w:rsidR="00920386" w:rsidRPr="00556765">
        <w:rPr>
          <w:rFonts w:cs="Times New Roman"/>
          <w:bCs/>
          <w:szCs w:val="28"/>
        </w:rPr>
        <w:t>;</w:t>
      </w:r>
      <w:r w:rsidR="00920386" w:rsidRPr="00556765">
        <w:rPr>
          <w:rFonts w:cs="Times New Roman"/>
          <w:bCs/>
          <w:szCs w:val="28"/>
        </w:rPr>
        <w:tab/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G</m:t>
        </m:r>
      </m:oMath>
      <w:r w:rsidR="00920386" w:rsidRPr="00556765">
        <w:rPr>
          <w:rFonts w:cs="Times New Roman"/>
          <w:bCs/>
          <w:szCs w:val="28"/>
        </w:rPr>
        <w:t xml:space="preserve"> =34; </w:t>
      </w:r>
      <w:r w:rsidR="00920386" w:rsidRPr="00556765">
        <w:rPr>
          <w:rFonts w:eastAsiaTheme="minorEastAsia" w:cs="Times New Roman"/>
          <w:bCs/>
          <w:szCs w:val="28"/>
        </w:rPr>
        <w:tab/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="00920386" w:rsidRPr="00556765">
        <w:rPr>
          <w:rFonts w:cs="Times New Roman"/>
          <w:bCs/>
          <w:szCs w:val="28"/>
        </w:rPr>
        <w:t xml:space="preserve"> =300 см.</w:t>
      </w:r>
    </w:p>
    <w:p w:rsidR="00920386" w:rsidRPr="00556765" w:rsidRDefault="00920386" w:rsidP="00556765">
      <w:pPr>
        <w:pStyle w:val="a7"/>
        <w:rPr>
          <w:rFonts w:cs="Times New Roman"/>
          <w:bCs/>
          <w:szCs w:val="28"/>
        </w:rPr>
      </w:pPr>
      <w:r w:rsidRPr="00556765">
        <w:rPr>
          <w:rFonts w:cs="Times New Roman"/>
          <w:bCs/>
          <w:szCs w:val="28"/>
        </w:rPr>
        <w:t>Произведем расчет и сравним полученное значение с имеющимися нормами, указанными в ГОСТ 21953-76:</w:t>
      </w:r>
    </w:p>
    <w:p w:rsidR="00920386" w:rsidRPr="00556765" w:rsidRDefault="00920386" w:rsidP="00556765">
      <w:pPr>
        <w:pStyle w:val="a7"/>
        <w:ind w:firstLine="567"/>
        <w:rPr>
          <w:rFonts w:cs="Times New Roman"/>
          <w:bCs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П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200∙34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4∙π∙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300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=6 мВт/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</m:oMath>
      </m:oMathPara>
    </w:p>
    <w:p w:rsidR="00920386" w:rsidRPr="00556765" w:rsidRDefault="00920386" w:rsidP="0055676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bCs/>
          <w:sz w:val="28"/>
          <w:szCs w:val="28"/>
        </w:rPr>
        <w:t xml:space="preserve">В результате получаем плотность потока мощности </w:t>
      </w:r>
      <w:proofErr w:type="gramStart"/>
      <m:oMath>
        <m:r>
          <w:rPr>
            <w:rFonts w:ascii="Cambria Math" w:hAnsi="Cambria Math" w:cs="Times New Roman"/>
            <w:sz w:val="28"/>
            <w:szCs w:val="28"/>
          </w:rPr>
          <m:t>П</m:t>
        </m:r>
      </m:oMath>
      <w:proofErr w:type="gramEnd"/>
      <w:r w:rsidRPr="00556765">
        <w:rPr>
          <w:rFonts w:ascii="Times New Roman" w:hAnsi="Times New Roman" w:cs="Times New Roman"/>
          <w:bCs/>
          <w:sz w:val="28"/>
          <w:szCs w:val="28"/>
        </w:rPr>
        <w:t xml:space="preserve"> = 6 </w:t>
      </w:r>
      <w:r w:rsidRPr="00556765">
        <w:rPr>
          <w:rFonts w:ascii="Times New Roman" w:hAnsi="Times New Roman" w:cs="Times New Roman"/>
          <w:sz w:val="28"/>
          <w:szCs w:val="28"/>
        </w:rPr>
        <w:t>мВт/см</w:t>
      </w:r>
      <w:r w:rsidRPr="005567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6765">
        <w:rPr>
          <w:rFonts w:ascii="Times New Roman" w:hAnsi="Times New Roman" w:cs="Times New Roman"/>
          <w:bCs/>
          <w:sz w:val="28"/>
          <w:szCs w:val="28"/>
        </w:rPr>
        <w:t xml:space="preserve">, которая превышает нормированное значение допустимой энергетической нагрузки на </w:t>
      </w:r>
      <w:r w:rsidRPr="0055676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организм </w:t>
      </w:r>
      <m:oMath>
        <m:r>
          <m:rPr>
            <m:nor/>
          </m:rPr>
          <w:rPr>
            <w:rFonts w:ascii="Times New Roman" w:hAnsi="Times New Roman" w:cs="Times New Roman"/>
            <w:i/>
            <w:sz w:val="28"/>
            <w:szCs w:val="28"/>
            <w:lang w:val="en-US"/>
          </w:rPr>
          <m:t>W</m:t>
        </m:r>
      </m:oMath>
      <w:r w:rsidRPr="005567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556765">
        <w:rPr>
          <w:rFonts w:ascii="Times New Roman" w:hAnsi="Times New Roman" w:cs="Times New Roman"/>
          <w:bCs/>
          <w:sz w:val="28"/>
          <w:szCs w:val="28"/>
        </w:rPr>
        <w:t xml:space="preserve"> = 200 </w:t>
      </w:r>
      <w:proofErr w:type="spellStart"/>
      <w:r w:rsidRPr="00556765">
        <w:rPr>
          <w:rFonts w:ascii="Times New Roman" w:hAnsi="Times New Roman" w:cs="Times New Roman"/>
          <w:sz w:val="28"/>
          <w:szCs w:val="28"/>
        </w:rPr>
        <w:t>мкВт∙час</w:t>
      </w:r>
      <w:proofErr w:type="spellEnd"/>
      <w:r w:rsidRPr="00556765">
        <w:rPr>
          <w:rFonts w:ascii="Times New Roman" w:hAnsi="Times New Roman" w:cs="Times New Roman"/>
          <w:sz w:val="28"/>
          <w:szCs w:val="28"/>
        </w:rPr>
        <w:t>/см</w:t>
      </w:r>
      <w:r w:rsidRPr="00556765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556765">
        <w:rPr>
          <w:rFonts w:ascii="Times New Roman" w:hAnsi="Times New Roman" w:cs="Times New Roman"/>
          <w:bCs/>
          <w:sz w:val="28"/>
          <w:szCs w:val="28"/>
        </w:rPr>
        <w:t xml:space="preserve"> за восьмичасовой рабочий день. В результат делаем вывод о необходимости дополнительной защиты от СВЧ-излучения, при работе с данным изделием.</w:t>
      </w:r>
    </w:p>
    <w:p w:rsidR="00920386" w:rsidRPr="00556765" w:rsidRDefault="00920386" w:rsidP="00556765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56765">
        <w:rPr>
          <w:rFonts w:ascii="Times New Roman" w:eastAsia="Calibri" w:hAnsi="Times New Roman" w:cs="Times New Roman"/>
          <w:sz w:val="28"/>
          <w:szCs w:val="28"/>
        </w:rPr>
        <w:t>Основные  меры  защиты  от  воздействия  СВЧ - излучения  сводятся  к  следующему: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1) Уменьшение излучения непосредственно от источника СВЧ-излучений.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2) Экранирование рабочего места у источника СВЧ-излучения или удаление источника СВЧ-излучения от рабочего места.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3) Экранирование непосредственно источника СВЧ-излучения.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4) Применение индивидуальных средств защиты, а именно: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индивидуальные экраны из металлизированных материалов;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радиозащитные очки коробчатого типа;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радиозащитный капюшон для защиты шеи и головы;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халаты из специальной металлизированной ткани;</w:t>
      </w:r>
    </w:p>
    <w:p w:rsidR="00920386" w:rsidRPr="00556765" w:rsidRDefault="00920386" w:rsidP="00556765">
      <w:pPr>
        <w:pStyle w:val="a3"/>
        <w:ind w:left="0" w:firstLine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– радиозащитные комбинезоны.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5)  Рациональное  размещение  в  рабочем  помещении  оборудования, излучающего  электромагнитную  энергию.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6) Установление рациональных режимов работы обслуживающего персонала и оборудования.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7)  Применение  средств  предупреждающей  сигнализации (</w:t>
      </w:r>
      <w:proofErr w:type="gramStart"/>
      <w:r w:rsidRPr="00556765">
        <w:rPr>
          <w:rFonts w:cs="Times New Roman"/>
          <w:szCs w:val="28"/>
        </w:rPr>
        <w:t>световая</w:t>
      </w:r>
      <w:proofErr w:type="gramEnd"/>
      <w:r w:rsidRPr="00556765">
        <w:rPr>
          <w:rFonts w:cs="Times New Roman"/>
          <w:szCs w:val="28"/>
        </w:rPr>
        <w:t>,  звуковая  и  т. д.).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Правила безопасности, которые необходимо соблюдать при работе с электромагнитными полями СВЧ-диапазона: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обязательно использовать средства защиты от облучения радиоволнами;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определять наличие генерируемой мощности индикаторами поля (например, неоновой лампой), но не по тепловому эффекту на руке или другой части тела;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lastRenderedPageBreak/>
        <w:t>нельзя находиться в зоне излучения с плотностью потока мощности большей предельно допустимого уровня;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нельзя нарушать экранировку источников излучения и снимать защитные устройства;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при работе в экранной камере ее двери следует держать плотно закрытыми;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не допускать посторонних лиц в помещение, где ведутся работы с источниками радиочастот;</w:t>
      </w:r>
    </w:p>
    <w:p w:rsidR="00920386" w:rsidRPr="00556765" w:rsidRDefault="00920386" w:rsidP="00556765">
      <w:pPr>
        <w:pStyle w:val="a3"/>
        <w:numPr>
          <w:ilvl w:val="0"/>
          <w:numId w:val="3"/>
        </w:numPr>
        <w:tabs>
          <w:tab w:val="left" w:pos="993"/>
        </w:tabs>
        <w:ind w:left="1134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не оставлять без надзора включенную остановку.</w:t>
      </w:r>
    </w:p>
    <w:p w:rsidR="00920386" w:rsidRPr="00556765" w:rsidRDefault="00920386" w:rsidP="00556765">
      <w:pPr>
        <w:pStyle w:val="a3"/>
        <w:ind w:left="0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При соблюдении всех правил и норм работы экологического вреда окружающей среде не наносится, вредное воздействие на человека можно считать минимальным.</w:t>
      </w:r>
    </w:p>
    <w:p w:rsidR="00920386" w:rsidRDefault="00920386" w:rsidP="00920386">
      <w:pPr>
        <w:pStyle w:val="a3"/>
        <w:ind w:left="0"/>
      </w:pPr>
    </w:p>
    <w:p w:rsidR="00920386" w:rsidRPr="00556765" w:rsidRDefault="00920386" w:rsidP="00556765">
      <w:pPr>
        <w:pStyle w:val="a6"/>
        <w:numPr>
          <w:ilvl w:val="2"/>
          <w:numId w:val="1"/>
        </w:numPr>
        <w:outlineLvl w:val="2"/>
        <w:rPr>
          <w:b/>
          <w:sz w:val="28"/>
          <w:szCs w:val="28"/>
        </w:rPr>
      </w:pPr>
      <w:bookmarkStart w:id="6" w:name="_Toc326089524"/>
      <w:r w:rsidRPr="00556765">
        <w:rPr>
          <w:b/>
          <w:sz w:val="28"/>
          <w:szCs w:val="28"/>
        </w:rPr>
        <w:t>Обеспечение пожарной безопасности на этапе сборки и настройки блок</w:t>
      </w:r>
      <w:r w:rsidR="004636FA">
        <w:rPr>
          <w:b/>
          <w:sz w:val="28"/>
          <w:szCs w:val="28"/>
        </w:rPr>
        <w:t>а</w:t>
      </w:r>
      <w:r w:rsidRPr="00556765">
        <w:rPr>
          <w:b/>
          <w:sz w:val="28"/>
          <w:szCs w:val="28"/>
        </w:rPr>
        <w:t xml:space="preserve"> регулятора цикла сварки</w:t>
      </w:r>
      <w:bookmarkEnd w:id="6"/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В процессе производства блок регулятора цикла сварки используются горючие материалы. Источниками зажигания могут быть электрическая искра, электрическая дуга при коротких замыканиях в электроустановках и др. Основными источниками пожаров являются </w:t>
      </w:r>
      <w:proofErr w:type="gramStart"/>
      <w:r w:rsidRPr="00556765">
        <w:rPr>
          <w:rFonts w:ascii="Times New Roman" w:hAnsi="Times New Roman" w:cs="Times New Roman"/>
          <w:sz w:val="28"/>
          <w:szCs w:val="28"/>
        </w:rPr>
        <w:t>КЗ</w:t>
      </w:r>
      <w:proofErr w:type="gramEnd"/>
      <w:r w:rsidRPr="00556765">
        <w:rPr>
          <w:rFonts w:ascii="Times New Roman" w:hAnsi="Times New Roman" w:cs="Times New Roman"/>
          <w:sz w:val="28"/>
          <w:szCs w:val="28"/>
        </w:rPr>
        <w:t xml:space="preserve">  электрооборудовании, самовозгорание промасленной ветоши и одежды, нарушение противопожарного режима и правил обращения с горючими жидкостями.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Опасными факторами, воздействующими на людей, являются: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пламя и искры;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повышенная температура окружающей среды;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токсичные продукты горения и термического разложения;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дым;</w:t>
      </w:r>
    </w:p>
    <w:p w:rsidR="00920386" w:rsidRPr="00556765" w:rsidRDefault="00920386" w:rsidP="00556765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пониженная концентрация кислорода.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Пожарная безопасность обеспечивается системой предотвращения пожаров, противопожарной защитой и организационно-техническими мероприятиями в соответствии с ГОСТ 12.1.004-91 «Пожарная безопасность. Общие требования». Согласно этому ГОСТу, предотвращение пожара достигается следующими мерами: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lastRenderedPageBreak/>
        <w:t>необходимо строгое выполнение требований безопасности при хранении и использовании горюче-смазочных материалов;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помещение оборудовано противопожарным щитом;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установлена система пожарной сигнализации;</w:t>
      </w:r>
    </w:p>
    <w:p w:rsidR="00920386" w:rsidRPr="00556765" w:rsidRDefault="00920386" w:rsidP="00556765">
      <w:pPr>
        <w:pStyle w:val="a3"/>
        <w:numPr>
          <w:ilvl w:val="0"/>
          <w:numId w:val="7"/>
        </w:numPr>
        <w:ind w:left="1276"/>
        <w:rPr>
          <w:rFonts w:cs="Times New Roman"/>
          <w:szCs w:val="28"/>
        </w:rPr>
      </w:pPr>
      <w:r w:rsidRPr="00556765">
        <w:rPr>
          <w:rFonts w:cs="Times New Roman"/>
          <w:szCs w:val="28"/>
        </w:rPr>
        <w:t>материалы хранятся только в металлических закрытых ящиках.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Организационно-технические мероприятия включают: организацию пожарной охраны, паспортизацию материалов, техпроцессов, зданий в части обеспечения пожарной безопасности, изготовление и применение средств наглядной агитации по обеспечению пожарной безопасности и др.</w:t>
      </w:r>
    </w:p>
    <w:p w:rsidR="00920386" w:rsidRPr="00556765" w:rsidRDefault="00920386" w:rsidP="00556765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Требования ГОСТ 12.1.044-89 «</w:t>
      </w:r>
      <w:proofErr w:type="spellStart"/>
      <w:r w:rsidRPr="00556765">
        <w:rPr>
          <w:rFonts w:ascii="Times New Roman" w:hAnsi="Times New Roman" w:cs="Times New Roman"/>
          <w:sz w:val="28"/>
          <w:szCs w:val="28"/>
        </w:rPr>
        <w:t>Пожаровзрывоопасность</w:t>
      </w:r>
      <w:proofErr w:type="spellEnd"/>
      <w:r w:rsidRPr="00556765">
        <w:rPr>
          <w:rFonts w:ascii="Times New Roman" w:hAnsi="Times New Roman" w:cs="Times New Roman"/>
          <w:sz w:val="28"/>
          <w:szCs w:val="28"/>
        </w:rPr>
        <w:t xml:space="preserve"> веществ и материалов» выполняются.</w:t>
      </w:r>
    </w:p>
    <w:p w:rsidR="00920386" w:rsidRPr="00E059E0" w:rsidRDefault="00920386" w:rsidP="00920386">
      <w:pPr>
        <w:shd w:val="clear" w:color="auto" w:fill="FFFFFF"/>
        <w:rPr>
          <w:rFonts w:cs="Times New Roman"/>
          <w:szCs w:val="28"/>
        </w:rPr>
      </w:pPr>
    </w:p>
    <w:p w:rsidR="00920386" w:rsidRDefault="00920386" w:rsidP="00556765">
      <w:pPr>
        <w:pStyle w:val="3"/>
        <w:numPr>
          <w:ilvl w:val="2"/>
          <w:numId w:val="1"/>
        </w:numPr>
        <w:rPr>
          <w:rFonts w:ascii="Times New Roman" w:hAnsi="Times New Roman" w:cs="Times New Roman"/>
          <w:color w:val="auto"/>
          <w:szCs w:val="28"/>
        </w:rPr>
      </w:pPr>
      <w:bookmarkStart w:id="7" w:name="_Toc326089525"/>
      <w:r w:rsidRPr="00556765">
        <w:rPr>
          <w:rFonts w:ascii="Times New Roman" w:hAnsi="Times New Roman" w:cs="Times New Roman"/>
          <w:color w:val="auto"/>
          <w:szCs w:val="28"/>
        </w:rPr>
        <w:t>Обеспечение электробезопасности на этапе сборки и настройки блок</w:t>
      </w:r>
      <w:r w:rsidR="00556765" w:rsidRPr="00556765">
        <w:rPr>
          <w:rFonts w:ascii="Times New Roman" w:hAnsi="Times New Roman" w:cs="Times New Roman"/>
          <w:color w:val="auto"/>
          <w:szCs w:val="28"/>
        </w:rPr>
        <w:t>а</w:t>
      </w:r>
      <w:r w:rsidRPr="00556765">
        <w:rPr>
          <w:rFonts w:ascii="Times New Roman" w:hAnsi="Times New Roman" w:cs="Times New Roman"/>
          <w:color w:val="auto"/>
          <w:szCs w:val="28"/>
        </w:rPr>
        <w:t xml:space="preserve"> регулятора цикла сварки</w:t>
      </w:r>
      <w:bookmarkEnd w:id="7"/>
    </w:p>
    <w:p w:rsidR="00556765" w:rsidRPr="00556765" w:rsidRDefault="00556765" w:rsidP="00556765"/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Производственное помещение для сборки блок регулятора цикла сварки оснащено различным оборудованием, работающим с электроэнергией, например, источник питания или электропаяльники. Электроэнергия используется для освещения, для настройки, а также используются следующие электроприборы: осциллограф, вольтметры, генераторы. Питание электрооборудования производится от 3-х фазной сети переменного тока частотой 50 Гц и напряжением 380/220 В. 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Прикосновение к оголенным проводам, находящимся под напряжением, или к корпусам приборов, на которых вследствие пробоя изоляции возникло напряжение, влечет за собой поражение электрическим током. Проходя через тело человека, ток оказывает следующее действие: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56765">
        <w:rPr>
          <w:rFonts w:ascii="Times New Roman" w:hAnsi="Times New Roman" w:cs="Times New Roman"/>
          <w:sz w:val="28"/>
          <w:szCs w:val="28"/>
        </w:rPr>
        <w:t>термическое</w:t>
      </w:r>
      <w:proofErr w:type="gramEnd"/>
      <w:r w:rsidRPr="00556765">
        <w:rPr>
          <w:rFonts w:ascii="Times New Roman" w:hAnsi="Times New Roman" w:cs="Times New Roman"/>
          <w:sz w:val="28"/>
          <w:szCs w:val="28"/>
        </w:rPr>
        <w:t xml:space="preserve"> (ожоги);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электролитическое (разложение электролитов);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механическое (судорожное сокращение мышц, отбрасывание, отдергивание);</w:t>
      </w:r>
    </w:p>
    <w:p w:rsidR="00920386" w:rsidRPr="00556765" w:rsidRDefault="00920386" w:rsidP="00556765">
      <w:pPr>
        <w:numPr>
          <w:ilvl w:val="0"/>
          <w:numId w:val="4"/>
        </w:numPr>
        <w:suppressAutoHyphens/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биологическое (спазм, судороги, воздействие на </w:t>
      </w:r>
      <w:proofErr w:type="gramStart"/>
      <w:r w:rsidRPr="00556765">
        <w:rPr>
          <w:rFonts w:ascii="Times New Roman" w:hAnsi="Times New Roman" w:cs="Times New Roman"/>
          <w:sz w:val="28"/>
          <w:szCs w:val="28"/>
        </w:rPr>
        <w:t>сердечно-сосудистую</w:t>
      </w:r>
      <w:proofErr w:type="gramEnd"/>
      <w:r w:rsidRPr="00556765">
        <w:rPr>
          <w:rFonts w:ascii="Times New Roman" w:hAnsi="Times New Roman" w:cs="Times New Roman"/>
          <w:sz w:val="28"/>
          <w:szCs w:val="28"/>
        </w:rPr>
        <w:t xml:space="preserve"> систему).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lastRenderedPageBreak/>
        <w:t>По условиям электробезопасности модуль относится к категории установок, работающих с напряжением до 1000 В.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Средства определены в ГОСТ 12.1.038-82 «Электробезопасность» и должны соответствовать "Правилам пользования и испытаний защитных средств, применяемых в электроустановках".</w:t>
      </w:r>
    </w:p>
    <w:p w:rsidR="00920386" w:rsidRPr="00556765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К мероприятиям по защите рабочих от поражения электрическим током относятся: 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обеспечение недоступности токоведущих частей для случайного прикосновения; 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 xml:space="preserve">заземление и </w:t>
      </w:r>
      <w:proofErr w:type="spellStart"/>
      <w:r w:rsidRPr="00556765">
        <w:rPr>
          <w:rFonts w:ascii="Times New Roman" w:hAnsi="Times New Roman" w:cs="Times New Roman"/>
          <w:sz w:val="28"/>
          <w:szCs w:val="28"/>
        </w:rPr>
        <w:t>зануление</w:t>
      </w:r>
      <w:proofErr w:type="spellEnd"/>
      <w:r w:rsidRPr="00556765">
        <w:rPr>
          <w:rFonts w:ascii="Times New Roman" w:hAnsi="Times New Roman" w:cs="Times New Roman"/>
          <w:sz w:val="28"/>
          <w:szCs w:val="28"/>
        </w:rPr>
        <w:t xml:space="preserve"> электроустановок;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использование индивидуальных средств защиты в виде деревянных решеток;</w:t>
      </w:r>
    </w:p>
    <w:p w:rsidR="00920386" w:rsidRPr="00556765" w:rsidRDefault="00920386" w:rsidP="00556765">
      <w:pPr>
        <w:numPr>
          <w:ilvl w:val="0"/>
          <w:numId w:val="5"/>
        </w:numPr>
        <w:tabs>
          <w:tab w:val="left" w:pos="900"/>
        </w:tabs>
        <w:suppressAutoHyphens/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двойная изоляция ручного инструмента - электропаяльника;</w:t>
      </w:r>
    </w:p>
    <w:p w:rsidR="00920386" w:rsidRPr="00556765" w:rsidRDefault="00920386" w:rsidP="00556765">
      <w:pPr>
        <w:pStyle w:val="a9"/>
        <w:keepLines w:val="0"/>
        <w:numPr>
          <w:ilvl w:val="0"/>
          <w:numId w:val="5"/>
        </w:numPr>
        <w:tabs>
          <w:tab w:val="left" w:pos="900"/>
        </w:tabs>
        <w:ind w:left="1276"/>
        <w:rPr>
          <w:rFonts w:ascii="Times New Roman" w:hAnsi="Times New Roman"/>
          <w:szCs w:val="28"/>
        </w:rPr>
      </w:pPr>
      <w:r w:rsidRPr="00556765">
        <w:rPr>
          <w:rFonts w:ascii="Times New Roman" w:hAnsi="Times New Roman"/>
          <w:szCs w:val="28"/>
        </w:rPr>
        <w:t>дополнительное изолирующее электрозащитное средство - диэлектрический коврик на рабочем месте.</w:t>
      </w:r>
    </w:p>
    <w:p w:rsidR="00920386" w:rsidRPr="00556765" w:rsidRDefault="00920386" w:rsidP="0055676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20386" w:rsidRDefault="00920386" w:rsidP="00556765">
      <w:pPr>
        <w:jc w:val="both"/>
        <w:rPr>
          <w:rFonts w:ascii="Times New Roman" w:hAnsi="Times New Roman" w:cs="Times New Roman"/>
          <w:sz w:val="28"/>
          <w:szCs w:val="28"/>
        </w:rPr>
      </w:pPr>
      <w:r w:rsidRPr="00556765">
        <w:rPr>
          <w:rFonts w:ascii="Times New Roman" w:hAnsi="Times New Roman" w:cs="Times New Roman"/>
          <w:sz w:val="28"/>
          <w:szCs w:val="28"/>
        </w:rPr>
        <w:t>Рассмотрим вопрос проведения заземления к месту сборки для обеспечения нормального труда рабочих.</w:t>
      </w:r>
    </w:p>
    <w:p w:rsidR="00C0175F" w:rsidRPr="00556765" w:rsidRDefault="00C0175F" w:rsidP="0055676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20386" w:rsidRPr="00A528E5" w:rsidRDefault="00920386" w:rsidP="00C0175F">
      <w:pPr>
        <w:pStyle w:val="a3"/>
        <w:numPr>
          <w:ilvl w:val="1"/>
          <w:numId w:val="1"/>
        </w:numPr>
        <w:jc w:val="center"/>
        <w:outlineLvl w:val="1"/>
        <w:rPr>
          <w:rFonts w:cs="Times New Roman"/>
          <w:b/>
          <w:sz w:val="32"/>
          <w:szCs w:val="32"/>
        </w:rPr>
      </w:pPr>
      <w:bookmarkStart w:id="8" w:name="_Toc326089526"/>
      <w:r w:rsidRPr="00A528E5">
        <w:rPr>
          <w:rFonts w:cs="Times New Roman"/>
          <w:b/>
          <w:sz w:val="32"/>
          <w:szCs w:val="32"/>
        </w:rPr>
        <w:t>Расчет защитного заземления</w:t>
      </w:r>
      <w:bookmarkEnd w:id="8"/>
    </w:p>
    <w:p w:rsidR="00C0175F" w:rsidRPr="00C0175F" w:rsidRDefault="00C0175F" w:rsidP="00C0175F">
      <w:pPr>
        <w:ind w:left="851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920386" w:rsidRPr="00C0175F" w:rsidRDefault="00920386" w:rsidP="00C0175F">
      <w:pPr>
        <w:jc w:val="both"/>
        <w:rPr>
          <w:rFonts w:ascii="Times New Roman" w:hAnsi="Times New Roman" w:cs="Times New Roman"/>
          <w:sz w:val="28"/>
          <w:szCs w:val="28"/>
        </w:rPr>
      </w:pPr>
      <w:r w:rsidRPr="00C0175F">
        <w:rPr>
          <w:rFonts w:ascii="Times New Roman" w:hAnsi="Times New Roman" w:cs="Times New Roman"/>
          <w:sz w:val="28"/>
          <w:szCs w:val="28"/>
        </w:rPr>
        <w:t>Защитное заземление предназначено для снижения опасности поражения электрическим током при прикосновении к корпусу электрооборудования при пробое изоляции.</w:t>
      </w:r>
    </w:p>
    <w:p w:rsidR="00920386" w:rsidRPr="00C0175F" w:rsidRDefault="00920386" w:rsidP="00C0175F">
      <w:pPr>
        <w:jc w:val="both"/>
        <w:rPr>
          <w:rFonts w:ascii="Times New Roman" w:hAnsi="Times New Roman" w:cs="Times New Roman"/>
          <w:sz w:val="28"/>
          <w:szCs w:val="28"/>
        </w:rPr>
      </w:pPr>
      <w:r w:rsidRPr="00C0175F">
        <w:rPr>
          <w:rFonts w:ascii="Times New Roman" w:hAnsi="Times New Roman" w:cs="Times New Roman"/>
          <w:sz w:val="28"/>
          <w:szCs w:val="28"/>
        </w:rPr>
        <w:t>Рассчитаем заземление для прибора, питаемого от сети напряжением 220В. Мощность, потребляемая прибором незначительна, поэтому он подключен к общей шине заземления.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Чем меньше сопротивление заземления, тем надежнее защита от поражения током. Фактическое значение сопротивления заземления зависят от характера почвы, материала заземлителя и т.д. Чем меньше требуемое </w:t>
      </w:r>
      <w:r w:rsidRPr="00C0175F">
        <w:lastRenderedPageBreak/>
        <w:t>значение сопротивление заземления, тем сложнее его конструкция и выше стоимость изготовления.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Примем сопротивление заземления </w:t>
      </w:r>
      <w:proofErr w:type="gramStart"/>
      <w:r w:rsidRPr="00C0175F">
        <w:rPr>
          <w:i/>
        </w:rPr>
        <w:t>R</w:t>
      </w:r>
      <w:proofErr w:type="gramEnd"/>
      <w:r w:rsidRPr="00C0175F">
        <w:rPr>
          <w:i/>
          <w:vertAlign w:val="subscript"/>
        </w:rPr>
        <w:t>З</w:t>
      </w:r>
      <w:r w:rsidRPr="00C0175F">
        <w:t xml:space="preserve"> = 4 Ом. Это может обеспечить только искусственное заземление </w:t>
      </w:r>
      <w:proofErr w:type="gramStart"/>
      <w:r w:rsidRPr="00C0175F">
        <w:rPr>
          <w:i/>
        </w:rPr>
        <w:t>R</w:t>
      </w:r>
      <w:proofErr w:type="gramEnd"/>
      <w:r w:rsidRPr="00C0175F">
        <w:rPr>
          <w:i/>
          <w:vertAlign w:val="subscript"/>
        </w:rPr>
        <w:t>З</w:t>
      </w:r>
      <w:r w:rsidRPr="00C0175F">
        <w:t xml:space="preserve"> = </w:t>
      </w:r>
      <w:r w:rsidRPr="00C0175F">
        <w:rPr>
          <w:i/>
        </w:rPr>
        <w:t>R</w:t>
      </w:r>
      <w:r w:rsidRPr="00C0175F">
        <w:rPr>
          <w:i/>
          <w:vertAlign w:val="subscript"/>
        </w:rPr>
        <w:t>ИСК</w:t>
      </w:r>
      <w:r w:rsidRPr="00C0175F">
        <w:t xml:space="preserve"> = 4 Ом.</w:t>
      </w:r>
    </w:p>
    <w:p w:rsidR="00920386" w:rsidRPr="00C0175F" w:rsidRDefault="00920386" w:rsidP="00C0175F">
      <w:pPr>
        <w:pStyle w:val="14pt"/>
        <w:ind w:firstLine="851"/>
      </w:pPr>
      <w:r w:rsidRPr="00C0175F">
        <w:t>Для искусственного заземления применяются вертикальные и горизонтальные электроды. В качестве вертикальных электродов используют стальные трубы диаметром 3…5 см и длиной 2…3 см. Сопротивление трубы является основным фактором, от которого зависит сопротивление заземления. На сопротивление заземления большое значение оказывают климатические условия. Чтобы уменьшить это влияние, электроды следует закапывать в землю на глубину 0,5…1,5 м от поверхности земли до верхнего конца трубы.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Для заземления выберем типовой </w:t>
      </w:r>
      <w:proofErr w:type="gramStart"/>
      <w:r w:rsidRPr="00C0175F">
        <w:t>вертикальный</w:t>
      </w:r>
      <w:proofErr w:type="gramEnd"/>
      <w:r w:rsidRPr="00C0175F">
        <w:t xml:space="preserve"> заземлитель в виде трубы представленный на рисунке 20.</w:t>
      </w:r>
    </w:p>
    <w:p w:rsidR="00920386" w:rsidRPr="00C0175F" w:rsidRDefault="00920386" w:rsidP="00C0175F">
      <w:pPr>
        <w:pStyle w:val="14pt"/>
        <w:spacing w:line="240" w:lineRule="auto"/>
      </w:pPr>
      <w:r w:rsidRPr="00C0175F">
        <w:rPr>
          <w:noProof/>
          <w:lang w:eastAsia="ru-RU"/>
        </w:rPr>
        <w:drawing>
          <wp:inline distT="0" distB="0" distL="0" distR="0" wp14:anchorId="6DCF1578" wp14:editId="3C779095">
            <wp:extent cx="3265805" cy="35864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586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86" w:rsidRPr="00C0175F" w:rsidRDefault="00920386" w:rsidP="00C0175F">
      <w:pPr>
        <w:pStyle w:val="14pt"/>
      </w:pPr>
      <w:r w:rsidRPr="00C0175F">
        <w:t>Рисунок 20 – Типовой вертикальный заземлитель.</w:t>
      </w:r>
    </w:p>
    <w:p w:rsidR="00920386" w:rsidRPr="00C0175F" w:rsidRDefault="00920386" w:rsidP="00C0175F">
      <w:pPr>
        <w:pStyle w:val="14pt"/>
        <w:ind w:firstLine="851"/>
      </w:pPr>
      <w:r w:rsidRPr="00C0175F">
        <w:t>Сопротивление такого одиночного заземлителя будет: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3"/>
        </w:rPr>
        <w:object w:dxaOrig="2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37.5pt" o:ole="" filled="t">
            <v:fill color2="black"/>
            <v:imagedata r:id="rId7" o:title=""/>
          </v:shape>
          <o:OLEObject Type="Embed" ProgID="Equation.DSMT4" ShapeID="_x0000_i1025" DrawAspect="Content" ObjectID="_1431718807" r:id="rId8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lastRenderedPageBreak/>
        <w:t xml:space="preserve">где </w:t>
      </w:r>
      <w:r w:rsidRPr="00C0175F">
        <w:rPr>
          <w:i/>
        </w:rPr>
        <w:t>l</w:t>
      </w:r>
      <w:r w:rsidRPr="00C0175F">
        <w:t xml:space="preserve"> – длина трубы, </w:t>
      </w:r>
      <w:proofErr w:type="gramStart"/>
      <w:r w:rsidRPr="00C0175F">
        <w:t>м</w:t>
      </w:r>
      <w:proofErr w:type="gramEnd"/>
      <w:r w:rsidRPr="00C0175F">
        <w:t>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d</w:t>
      </w:r>
      <w:r w:rsidRPr="00C0175F">
        <w:t xml:space="preserve"> – диаметр трубы, </w:t>
      </w:r>
      <w:proofErr w:type="gramStart"/>
      <w:r w:rsidRPr="00C0175F">
        <w:t>мм</w:t>
      </w:r>
      <w:proofErr w:type="gramEnd"/>
      <w:r w:rsidRPr="00C0175F">
        <w:t>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t</w:t>
      </w:r>
      <w:r w:rsidRPr="00C0175F">
        <w:t xml:space="preserve"> – длина заложения от поверхности земли до середины трубы, </w:t>
      </w:r>
      <w:proofErr w:type="gramStart"/>
      <w:r w:rsidRPr="00C0175F">
        <w:t>м</w:t>
      </w:r>
      <w:proofErr w:type="gramEnd"/>
      <w:r w:rsidRPr="00C0175F">
        <w:t>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  <w:position w:val="-10"/>
        </w:rPr>
        <w:object w:dxaOrig="240" w:dyaOrig="260">
          <v:shape id="_x0000_i1026" type="#_x0000_t75" style="width:12.75pt;height:12.75pt" o:ole="">
            <v:imagedata r:id="rId9" o:title=""/>
          </v:shape>
          <o:OLEObject Type="Embed" ProgID="Equation.DSMT4" ShapeID="_x0000_i1026" DrawAspect="Content" ObjectID="_1431718808" r:id="rId10"/>
        </w:object>
      </w:r>
      <w:r w:rsidRPr="00C0175F">
        <w:t xml:space="preserve"> – удельное сопротивление грунта, Ом · </w:t>
      </w:r>
      <w:proofErr w:type="gramStart"/>
      <w:r w:rsidRPr="00C0175F">
        <w:t>м</w:t>
      </w:r>
      <w:proofErr w:type="gramEnd"/>
      <w:r w:rsidRPr="00C0175F">
        <w:t>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Удельное сопротивление грунта зависит от ряда факторов: состава грунта, влажности, температуры, наличия кислот, солей и т. д. Принимаем удельное сопротивление грунта </w:t>
      </w:r>
      <w:r w:rsidRPr="00C0175F">
        <w:rPr>
          <w:i/>
          <w:position w:val="-10"/>
        </w:rPr>
        <w:object w:dxaOrig="240" w:dyaOrig="260">
          <v:shape id="_x0000_i1027" type="#_x0000_t75" style="width:12.75pt;height:12.75pt" o:ole="">
            <v:imagedata r:id="rId9" o:title=""/>
          </v:shape>
          <o:OLEObject Type="Embed" ProgID="Equation.DSMT4" ShapeID="_x0000_i1027" DrawAspect="Content" ObjectID="_1431718809" r:id="rId11"/>
        </w:object>
      </w:r>
      <w:r w:rsidRPr="00C0175F">
        <w:t xml:space="preserve"> = 100 Ом · </w:t>
      </w:r>
      <w:proofErr w:type="gramStart"/>
      <w:r w:rsidRPr="00C0175F">
        <w:t>м</w:t>
      </w:r>
      <w:proofErr w:type="gramEnd"/>
      <w:r w:rsidRPr="00C0175F">
        <w:t xml:space="preserve"> для европейской части РФ, </w:t>
      </w:r>
      <w:r w:rsidRPr="00C0175F">
        <w:rPr>
          <w:i/>
        </w:rPr>
        <w:t>l</w:t>
      </w:r>
      <w:r w:rsidRPr="00C0175F">
        <w:t xml:space="preserve"> = 2,5 м; </w:t>
      </w:r>
      <w:r w:rsidRPr="00C0175F">
        <w:rPr>
          <w:i/>
        </w:rPr>
        <w:t>d</w:t>
      </w:r>
      <w:r w:rsidRPr="00C0175F">
        <w:t xml:space="preserve"> = 60 мм; </w:t>
      </w:r>
      <w:r w:rsidRPr="00C0175F">
        <w:rPr>
          <w:i/>
        </w:rPr>
        <w:t>t</w:t>
      </w:r>
      <w:r w:rsidRPr="00C0175F">
        <w:t xml:space="preserve"> = 2 м.</w:t>
      </w:r>
    </w:p>
    <w:p w:rsidR="00920386" w:rsidRPr="00C0175F" w:rsidRDefault="00920386" w:rsidP="00C0175F">
      <w:pPr>
        <w:pStyle w:val="14pt"/>
        <w:ind w:firstLine="851"/>
      </w:pPr>
      <w:r w:rsidRPr="00C0175F">
        <w:t>Тогда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5480" w:dyaOrig="660">
          <v:shape id="_x0000_i1028" type="#_x0000_t75" style="width:322.5pt;height:39.75pt" o:ole="" filled="t">
            <v:fill color2="black"/>
            <v:imagedata r:id="rId12" o:title=""/>
          </v:shape>
          <o:OLEObject Type="Embed" ProgID="Equation.DSMT4" ShapeID="_x0000_i1028" DrawAspect="Content" ObjectID="_1431718810" r:id="rId13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Отсюда следует, что одиночного заземления недостаточно. Необходимо контурное заземление, состоящее из нескольких параллельно включенных одиночных заземлителей. Контурное заземление выгодно с точки зрения проникновения внутри контура, поэтому будем считать, что заземлители расположены по контуру. Для лучшего использования заземлителей коэффициент использования трубчатых заземлителей </w:t>
      </w:r>
      <w:r w:rsidRPr="00C0175F">
        <w:rPr>
          <w:i/>
        </w:rPr>
        <w:t></w:t>
      </w:r>
      <w:proofErr w:type="gramStart"/>
      <w:r w:rsidRPr="00C0175F">
        <w:rPr>
          <w:i/>
          <w:vertAlign w:val="subscript"/>
        </w:rPr>
        <w:t>ТР</w:t>
      </w:r>
      <w:proofErr w:type="gramEnd"/>
      <w:r w:rsidRPr="00C0175F">
        <w:t xml:space="preserve"> = 0,65.</w:t>
      </w:r>
    </w:p>
    <w:p w:rsidR="00920386" w:rsidRPr="00C0175F" w:rsidRDefault="00920386" w:rsidP="00C0175F">
      <w:pPr>
        <w:pStyle w:val="14pt"/>
        <w:ind w:firstLine="851"/>
      </w:pPr>
      <w:r w:rsidRPr="00C0175F">
        <w:t>Определяем число заземлителей по формуле 8.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1140" w:dyaOrig="680">
          <v:shape id="_x0000_i1029" type="#_x0000_t75" style="width:1in;height:42.75pt" o:ole="" filled="t">
            <v:fill color2="black"/>
            <v:imagedata r:id="rId14" o:title=""/>
          </v:shape>
          <o:OLEObject Type="Embed" ProgID="Equation.DSMT4" ShapeID="_x0000_i1029" DrawAspect="Content" ObjectID="_1431718811" r:id="rId15"/>
        </w:object>
      </w:r>
      <w:r w:rsidRPr="00C0175F">
        <w:t>,                                                    (8)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где </w:t>
      </w:r>
      <w:r w:rsidRPr="00C0175F">
        <w:rPr>
          <w:i/>
        </w:rPr>
        <w:t>n</w:t>
      </w:r>
      <w:r w:rsidRPr="00C0175F">
        <w:t xml:space="preserve"> – количество заземлителей;</w:t>
      </w:r>
    </w:p>
    <w:p w:rsidR="00920386" w:rsidRPr="00C0175F" w:rsidRDefault="00920386" w:rsidP="00C0175F">
      <w:pPr>
        <w:pStyle w:val="14pt"/>
        <w:ind w:firstLine="851"/>
      </w:pPr>
      <w:proofErr w:type="gramStart"/>
      <w:r w:rsidRPr="00C0175F">
        <w:rPr>
          <w:i/>
        </w:rPr>
        <w:t>R</w:t>
      </w:r>
      <w:proofErr w:type="gramEnd"/>
      <w:r w:rsidRPr="00C0175F">
        <w:rPr>
          <w:i/>
          <w:vertAlign w:val="subscript"/>
        </w:rPr>
        <w:t>ТР</w:t>
      </w:r>
      <w:r w:rsidRPr="00C0175F">
        <w:t xml:space="preserve"> – сопротивление одного трубчатого заземлителя;</w:t>
      </w:r>
    </w:p>
    <w:p w:rsidR="00920386" w:rsidRPr="00C0175F" w:rsidRDefault="00920386" w:rsidP="00C0175F">
      <w:pPr>
        <w:pStyle w:val="14pt"/>
        <w:ind w:firstLine="851"/>
      </w:pPr>
      <w:proofErr w:type="gramStart"/>
      <w:r w:rsidRPr="00C0175F">
        <w:rPr>
          <w:i/>
        </w:rPr>
        <w:t>R</w:t>
      </w:r>
      <w:proofErr w:type="gramEnd"/>
      <w:r w:rsidRPr="00C0175F">
        <w:rPr>
          <w:i/>
          <w:vertAlign w:val="subscript"/>
        </w:rPr>
        <w:t>З</w:t>
      </w:r>
      <w:r w:rsidRPr="00C0175F">
        <w:t xml:space="preserve"> – сопротивление заземленного устройства по норме (4 Ом).</w:t>
      </w:r>
    </w:p>
    <w:p w:rsidR="00920386" w:rsidRPr="00C0175F" w:rsidRDefault="00920386" w:rsidP="00C0175F">
      <w:pPr>
        <w:pStyle w:val="14pt"/>
        <w:ind w:firstLine="851"/>
      </w:pPr>
      <w:r w:rsidRPr="00C0175F">
        <w:t>Тогда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1820" w:dyaOrig="660">
          <v:shape id="_x0000_i1030" type="#_x0000_t75" style="width:108.75pt;height:37.5pt" o:ole="" filled="t">
            <v:fill color2="black"/>
            <v:imagedata r:id="rId16" o:title=""/>
          </v:shape>
          <o:OLEObject Type="Embed" ProgID="Equation.DSMT4" ShapeID="_x0000_i1030" DrawAspect="Content" ObjectID="_1431718812" r:id="rId17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Принимаем количество заземлителей n = 6, расположенных по периметру прямоугольника с длиной большей стороны – </w:t>
      </w:r>
      <w:smartTag w:uri="urn:schemas-microsoft-com:office:smarttags" w:element="metricconverter">
        <w:smartTagPr>
          <w:attr w:name="ProductID" w:val="500 см"/>
        </w:smartTagPr>
        <w:r w:rsidRPr="00C0175F">
          <w:t>500 см</w:t>
        </w:r>
      </w:smartTag>
      <w:r w:rsidRPr="00C0175F">
        <w:t xml:space="preserve">, длиной меньшей стороны – </w:t>
      </w:r>
      <w:smartTag w:uri="urn:schemas-microsoft-com:office:smarttags" w:element="metricconverter">
        <w:smartTagPr>
          <w:attr w:name="ProductID" w:val="250 см"/>
        </w:smartTagPr>
        <w:r w:rsidRPr="00C0175F">
          <w:t>250 см</w:t>
        </w:r>
      </w:smartTag>
      <w:r w:rsidRPr="00C0175F">
        <w:t>. (рисунок 21).</w:t>
      </w:r>
    </w:p>
    <w:p w:rsidR="00920386" w:rsidRPr="00C0175F" w:rsidRDefault="00920386" w:rsidP="00C0175F">
      <w:pPr>
        <w:pStyle w:val="14pt"/>
        <w:ind w:firstLine="0"/>
      </w:pPr>
      <w:r w:rsidRPr="00C0175F">
        <w:rPr>
          <w:noProof/>
          <w:lang w:eastAsia="ru-RU"/>
        </w:rPr>
        <w:lastRenderedPageBreak/>
        <w:drawing>
          <wp:inline distT="0" distB="0" distL="0" distR="0" wp14:anchorId="51F284DC" wp14:editId="5FDFD8DE">
            <wp:extent cx="4993797" cy="3855226"/>
            <wp:effectExtent l="19050" t="0" r="0" b="0"/>
            <wp:docPr id="32" name="Рисунок 32" descr="D:\Мои документы\УЧЁБА\!_ДИПЛОМ_!\_МОЙ\РПЗ\Экология\Фрагмен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Мои документы\УЧЁБА\!_ДИПЛОМ_!\_МОЙ\РПЗ\Экология\Фрагмент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838" cy="385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386" w:rsidRPr="00C0175F" w:rsidRDefault="00920386" w:rsidP="00C0175F">
      <w:pPr>
        <w:pStyle w:val="14pt"/>
      </w:pPr>
      <w:r w:rsidRPr="00C0175F">
        <w:t>Рисунок 21 – Расположение заземлителей.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Параллельное соединение заземлителей осуществляется полосами прямоугольного сечения, которые находятся в земле, в тоже время, сами являются заземлителями. Лучше всего для этой цели подходят полосы шириной </w:t>
      </w:r>
      <w:smartTag w:uri="urn:schemas-microsoft-com:office:smarttags" w:element="metricconverter">
        <w:smartTagPr>
          <w:attr w:name="ProductID" w:val="4 см"/>
        </w:smartTagPr>
        <w:r w:rsidRPr="00C0175F">
          <w:t>4 см</w:t>
        </w:r>
      </w:smartTag>
      <w:r w:rsidRPr="00C0175F">
        <w:t>. Тогда сопротивление соединительных прямоугольных в сечении полос определяется по формуле: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7"/>
        </w:rPr>
        <w:object w:dxaOrig="1740" w:dyaOrig="720">
          <v:shape id="_x0000_i1031" type="#_x0000_t75" style="width:99pt;height:42pt" o:ole="" filled="t">
            <v:fill color2="black"/>
            <v:imagedata r:id="rId19" o:title=""/>
          </v:shape>
          <o:OLEObject Type="Embed" ProgID="Equation.DSMT4" ShapeID="_x0000_i1031" DrawAspect="Content" ObjectID="_1431718813" r:id="rId20"/>
        </w:object>
      </w:r>
      <w:r w:rsidRPr="00C0175F">
        <w:t xml:space="preserve">, </w: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где </w:t>
      </w:r>
      <w:r w:rsidRPr="00C0175F">
        <w:rPr>
          <w:i/>
        </w:rPr>
        <w:t>l</w:t>
      </w:r>
      <w:r w:rsidRPr="00C0175F">
        <w:rPr>
          <w:i/>
          <w:vertAlign w:val="subscript"/>
        </w:rPr>
        <w:t>1</w:t>
      </w:r>
      <w:r w:rsidRPr="00C0175F">
        <w:t xml:space="preserve"> = 250 ∙ 6 = 15 м – суммарная длина соединительных полос;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t</w:t>
      </w:r>
      <w:r w:rsidRPr="00C0175F">
        <w:rPr>
          <w:i/>
          <w:vertAlign w:val="subscript"/>
        </w:rPr>
        <w:t>1</w:t>
      </w:r>
      <w:r w:rsidRPr="00C0175F">
        <w:t xml:space="preserve"> = 75 см – глубина залегания полос от поверхности земли;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i/>
        </w:rPr>
        <w:t>B</w:t>
      </w:r>
      <w:r w:rsidRPr="00C0175F">
        <w:t xml:space="preserve"> = </w:t>
      </w:r>
      <w:smartTag w:uri="urn:schemas-microsoft-com:office:smarttags" w:element="metricconverter">
        <w:smartTagPr>
          <w:attr w:name="ProductID" w:val="4 см"/>
        </w:smartTagPr>
        <w:r w:rsidRPr="00C0175F">
          <w:t>4 см</w:t>
        </w:r>
      </w:smartTag>
      <w:r w:rsidRPr="00C0175F">
        <w:t xml:space="preserve"> – ширина полосы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3940" w:dyaOrig="700">
          <v:shape id="_x0000_i1032" type="#_x0000_t75" style="width:228pt;height:42pt" o:ole="" filled="t">
            <v:fill color2="black"/>
            <v:imagedata r:id="rId21" o:title=""/>
          </v:shape>
          <o:OLEObject Type="Embed" ProgID="Equation.DSMT4" ShapeID="_x0000_i1032" DrawAspect="Content" ObjectID="_1431718814" r:id="rId22"/>
        </w:object>
      </w:r>
    </w:p>
    <w:p w:rsidR="00920386" w:rsidRPr="00C0175F" w:rsidRDefault="00920386" w:rsidP="00C0175F">
      <w:pPr>
        <w:pStyle w:val="14pt"/>
        <w:ind w:firstLine="851"/>
      </w:pPr>
      <w:r w:rsidRPr="00C0175F">
        <w:t xml:space="preserve">Коэффициент использования соединительных полос равен </w:t>
      </w:r>
      <w:r w:rsidRPr="00C0175F">
        <w:rPr>
          <w:i/>
        </w:rPr>
        <w:t></w:t>
      </w:r>
      <w:r w:rsidRPr="00C0175F">
        <w:rPr>
          <w:i/>
          <w:vertAlign w:val="subscript"/>
        </w:rPr>
        <w:t>П</w:t>
      </w:r>
      <w:r w:rsidRPr="00C0175F">
        <w:t xml:space="preserve"> = 0,34.</w:t>
      </w:r>
    </w:p>
    <w:p w:rsidR="00920386" w:rsidRPr="00C0175F" w:rsidRDefault="00920386" w:rsidP="00C0175F">
      <w:pPr>
        <w:pStyle w:val="14pt"/>
        <w:ind w:firstLine="851"/>
      </w:pPr>
      <w:r w:rsidRPr="00C0175F">
        <w:t>Сопротивление прямоугольного контурного заземлителя (т. е. полное сопротивление заземлителя) определяется по формуле 9.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5"/>
        </w:rPr>
        <w:object w:dxaOrig="2500" w:dyaOrig="680">
          <v:shape id="_x0000_i1033" type="#_x0000_t75" style="width:161.25pt;height:42pt" o:ole="" filled="t">
            <v:fill color2="black"/>
            <v:imagedata r:id="rId23" o:title=""/>
          </v:shape>
          <o:OLEObject Type="Embed" ProgID="Equation.DSMT4" ShapeID="_x0000_i1033" DrawAspect="Content" ObjectID="_1431718815" r:id="rId24"/>
        </w:object>
      </w:r>
      <w:r w:rsidRPr="00C0175F">
        <w:t>,                                       (9)</w:t>
      </w:r>
    </w:p>
    <w:p w:rsidR="00920386" w:rsidRPr="00C0175F" w:rsidRDefault="00920386" w:rsidP="00C0175F">
      <w:pPr>
        <w:pStyle w:val="14pt"/>
        <w:ind w:firstLine="851"/>
      </w:pPr>
      <w:r w:rsidRPr="00C0175F">
        <w:rPr>
          <w:position w:val="-28"/>
        </w:rPr>
        <w:object w:dxaOrig="5300" w:dyaOrig="660">
          <v:shape id="_x0000_i1034" type="#_x0000_t75" style="width:315pt;height:39.75pt" o:ole="">
            <v:imagedata r:id="rId25" o:title=""/>
          </v:shape>
          <o:OLEObject Type="Embed" ProgID="Equation.DSMT4" ShapeID="_x0000_i1034" DrawAspect="Content" ObjectID="_1431718816" r:id="rId26"/>
        </w:object>
      </w:r>
    </w:p>
    <w:p w:rsidR="00920386" w:rsidRPr="00C0175F" w:rsidRDefault="00920386" w:rsidP="00C017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175F">
        <w:rPr>
          <w:rFonts w:ascii="Times New Roman" w:hAnsi="Times New Roman" w:cs="Times New Roman"/>
          <w:sz w:val="28"/>
          <w:szCs w:val="28"/>
        </w:rPr>
        <w:t>Таким образом, общее расчётное сопротивление защитного заземления меньше допустимого значения, приведённого в «Правилах эксплуатации электроустановок до 1000В», и обеспечивает безопасную эксплуатацию аппаратуры используемой в процессе сборки блок регулятора цикла сварки.</w:t>
      </w:r>
      <w:r w:rsidRPr="00C0175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20386" w:rsidRPr="003435ED" w:rsidRDefault="00920386" w:rsidP="00920386">
      <w:pPr>
        <w:rPr>
          <w:rFonts w:cs="Times New Roman"/>
          <w:bCs/>
          <w:iCs/>
          <w:color w:val="000000"/>
          <w:szCs w:val="28"/>
        </w:rPr>
      </w:pPr>
    </w:p>
    <w:p w:rsidR="00920386" w:rsidRPr="003435ED" w:rsidRDefault="00920386" w:rsidP="00920386">
      <w:pPr>
        <w:pStyle w:val="a3"/>
        <w:numPr>
          <w:ilvl w:val="1"/>
          <w:numId w:val="1"/>
        </w:numPr>
        <w:shd w:val="clear" w:color="auto" w:fill="FFFFFF"/>
        <w:jc w:val="center"/>
        <w:outlineLvl w:val="1"/>
        <w:rPr>
          <w:rFonts w:cs="Times New Roman"/>
          <w:b/>
          <w:color w:val="000000"/>
          <w:sz w:val="32"/>
          <w:szCs w:val="32"/>
        </w:rPr>
      </w:pPr>
      <w:bookmarkStart w:id="9" w:name="_Toc326089527"/>
      <w:r w:rsidRPr="003435ED">
        <w:rPr>
          <w:rFonts w:cs="Times New Roman"/>
          <w:b/>
          <w:color w:val="000000"/>
          <w:sz w:val="32"/>
          <w:szCs w:val="32"/>
        </w:rPr>
        <w:t xml:space="preserve">Защита окружающей среды при производстве </w:t>
      </w:r>
      <w:r>
        <w:rPr>
          <w:rFonts w:cs="Times New Roman"/>
          <w:b/>
          <w:color w:val="000000"/>
          <w:sz w:val="32"/>
          <w:szCs w:val="32"/>
        </w:rPr>
        <w:t>блок</w:t>
      </w:r>
      <w:r w:rsidR="00A528E5">
        <w:rPr>
          <w:rFonts w:cs="Times New Roman"/>
          <w:b/>
          <w:color w:val="000000"/>
          <w:sz w:val="32"/>
          <w:szCs w:val="32"/>
        </w:rPr>
        <w:t>а</w:t>
      </w:r>
      <w:r>
        <w:rPr>
          <w:rFonts w:cs="Times New Roman"/>
          <w:b/>
          <w:color w:val="000000"/>
          <w:sz w:val="32"/>
          <w:szCs w:val="32"/>
        </w:rPr>
        <w:t xml:space="preserve"> регулятора цикла сварки</w:t>
      </w:r>
      <w:bookmarkEnd w:id="9"/>
    </w:p>
    <w:p w:rsidR="00920386" w:rsidRPr="003435ED" w:rsidRDefault="00920386" w:rsidP="00920386">
      <w:pPr>
        <w:pStyle w:val="a3"/>
        <w:numPr>
          <w:ilvl w:val="2"/>
          <w:numId w:val="1"/>
        </w:numPr>
        <w:jc w:val="center"/>
        <w:outlineLvl w:val="2"/>
        <w:rPr>
          <w:rFonts w:cs="Times New Roman"/>
          <w:b/>
          <w:szCs w:val="28"/>
        </w:rPr>
      </w:pPr>
      <w:bookmarkStart w:id="10" w:name="_Toc294949014"/>
      <w:bookmarkStart w:id="11" w:name="_Toc294950587"/>
      <w:bookmarkStart w:id="12" w:name="_Toc294957608"/>
      <w:bookmarkStart w:id="13" w:name="_Toc326089528"/>
      <w:r w:rsidRPr="003435ED">
        <w:rPr>
          <w:rFonts w:eastAsia="Calibri" w:cs="Times New Roman"/>
          <w:b/>
          <w:szCs w:val="28"/>
        </w:rPr>
        <w:t xml:space="preserve">Общие сведения и характеристика </w:t>
      </w:r>
      <w:r w:rsidR="00A528E5">
        <w:rPr>
          <w:rFonts w:cs="Times New Roman"/>
          <w:b/>
          <w:szCs w:val="28"/>
        </w:rPr>
        <w:t>НПП «</w:t>
      </w:r>
      <w:proofErr w:type="spellStart"/>
      <w:r w:rsidR="00A528E5">
        <w:rPr>
          <w:rFonts w:cs="Times New Roman"/>
          <w:b/>
          <w:szCs w:val="28"/>
        </w:rPr>
        <w:t>Велд</w:t>
      </w:r>
      <w:proofErr w:type="spellEnd"/>
      <w:r w:rsidR="00A528E5">
        <w:rPr>
          <w:rFonts w:cs="Times New Roman"/>
          <w:b/>
          <w:szCs w:val="28"/>
        </w:rPr>
        <w:t>»</w:t>
      </w:r>
      <w:r w:rsidRPr="003435ED">
        <w:rPr>
          <w:rFonts w:eastAsia="Calibri" w:cs="Times New Roman"/>
          <w:b/>
          <w:szCs w:val="28"/>
        </w:rPr>
        <w:t xml:space="preserve"> как источника загрязнения окружающей сред</w:t>
      </w:r>
      <w:bookmarkEnd w:id="10"/>
      <w:bookmarkEnd w:id="11"/>
      <w:bookmarkEnd w:id="12"/>
      <w:r w:rsidRPr="003435ED">
        <w:rPr>
          <w:rFonts w:eastAsia="Calibri" w:cs="Times New Roman"/>
          <w:b/>
          <w:szCs w:val="28"/>
        </w:rPr>
        <w:t>ы</w:t>
      </w:r>
      <w:bookmarkEnd w:id="13"/>
    </w:p>
    <w:p w:rsidR="00920386" w:rsidRPr="00251914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3D7BBD" w:rsidRDefault="00A528E5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НПП «</w:t>
      </w:r>
      <w:proofErr w:type="spellStart"/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Велд</w:t>
      </w:r>
      <w:proofErr w:type="spellEnd"/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»</w:t>
      </w:r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расположен в </w:t>
      </w:r>
      <w:proofErr w:type="spellStart"/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мкр</w:t>
      </w:r>
      <w:proofErr w:type="spellEnd"/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. </w:t>
      </w:r>
      <w:r w:rsidR="003D7BBD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Малинники</w:t>
      </w:r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, </w:t>
      </w:r>
      <w:proofErr w:type="spellStart"/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г</w:t>
      </w:r>
      <w:r w:rsidR="003D7BBD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Калуга</w:t>
      </w:r>
      <w:proofErr w:type="spellEnd"/>
      <w:r w:rsidR="00920386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в сложившейся промышленной зоне.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Площадка предприятия ровная, перепадов высот не имеет. Расположение зданий и сооружений не препятствует хорошему проветриванию территории.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Территория </w:t>
      </w:r>
      <w:r w:rsid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ограничена: с запада и юго-запада – лесным массивом с преобладанием смешанных пород деревьев; с юга – водоёмом и лугом; с юго-востока – АТС, котельной и пятиэтажными жилыми домами; с севера – лесной массив; с северо-запада – пионерский лагерь.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соответствии с санитарной классификацией, представленной в санитарных нормах проектирования промышленных предприятий СН 245.71 институт относится к У классу с санитарно-защитной зоной 50 м и 100 м  от гаража. В пределах территории санитарно-защитной зоны размещены производственные корпуса, зелёные насаждения и коммуникации. Жилые здания, спортивные сооружения и другие учреждения общего пользования, запрещённые к размещению в пределах СЗЗ, отсутствуют.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Институт осуществляет научно-исследовательские и опытно-конструкторские работы в области техники РЭБ.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Основной продукцией предприятия являются научно-технические отчёты, являющиеся результатом проводимых научно-исследовательских работ, а также конструкторская и эксплуатационная документация, разрабатываемая в процессе выполнения ОКР. Для подтверждения соответствия КД предъявленным заказчиком требованиям изготавливаются опытные образцы аппаратуры, настройка и исследования которых проводится в </w:t>
      </w:r>
      <w:r w:rsidR="00A528E5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НПП «</w:t>
      </w:r>
      <w:proofErr w:type="spellStart"/>
      <w:r w:rsidR="00A528E5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Велд</w:t>
      </w:r>
      <w:proofErr w:type="spellEnd"/>
      <w:r w:rsidR="00A528E5"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»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Для изготовления отдельных устройств, их сборки и настройки, институт располагает небольшой собственной лабораторно-производственной базой, имеющей следующие участки: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деревообрабатывающий участок;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участок механической обработки;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участок фотошаблонов и печатных плат;</w:t>
      </w:r>
    </w:p>
    <w:p w:rsidR="00920386" w:rsidRPr="003D7BBD" w:rsidRDefault="00920386" w:rsidP="003D7BBD">
      <w:pPr>
        <w:pStyle w:val="a3"/>
        <w:numPr>
          <w:ilvl w:val="0"/>
          <w:numId w:val="8"/>
        </w:numPr>
        <w:shd w:val="clear" w:color="auto" w:fill="FFFFFF"/>
        <w:rPr>
          <w:rFonts w:cs="Times New Roman"/>
          <w:bCs/>
          <w:iCs/>
          <w:color w:val="000000"/>
          <w:szCs w:val="28"/>
        </w:rPr>
      </w:pPr>
      <w:r w:rsidRPr="003D7BBD">
        <w:rPr>
          <w:rFonts w:cs="Times New Roman"/>
          <w:bCs/>
          <w:iCs/>
          <w:color w:val="000000"/>
          <w:szCs w:val="28"/>
        </w:rPr>
        <w:t>участок сборки и монтажа.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 распоряжении </w:t>
      </w:r>
      <w:r w:rsid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имеется парк автомашин и механизмов в количестве 50 единиц.</w:t>
      </w:r>
    </w:p>
    <w:p w:rsidR="00920386" w:rsidRDefault="00920386" w:rsidP="003D7BBD">
      <w:pPr>
        <w:shd w:val="clear" w:color="auto" w:fill="FFFFFF"/>
        <w:rPr>
          <w:rFonts w:cs="Times New Roman"/>
          <w:bCs/>
          <w:iCs/>
          <w:color w:val="000000"/>
          <w:szCs w:val="28"/>
        </w:rPr>
      </w:pPr>
    </w:p>
    <w:p w:rsidR="00920386" w:rsidRPr="00D82C30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/>
          <w:bCs/>
          <w:iCs/>
          <w:color w:val="000000"/>
          <w:szCs w:val="28"/>
        </w:rPr>
      </w:pPr>
      <w:bookmarkStart w:id="14" w:name="_Toc326089529"/>
      <w:r w:rsidRPr="00D82C30">
        <w:rPr>
          <w:rFonts w:cs="Times New Roman"/>
          <w:b/>
          <w:bCs/>
          <w:iCs/>
          <w:color w:val="000000"/>
          <w:szCs w:val="28"/>
        </w:rPr>
        <w:t xml:space="preserve">Характеристика выбросов </w:t>
      </w:r>
      <w:r w:rsidR="00A528E5">
        <w:rPr>
          <w:rFonts w:cs="Times New Roman"/>
          <w:b/>
          <w:bCs/>
          <w:iCs/>
          <w:color w:val="000000"/>
          <w:szCs w:val="28"/>
        </w:rPr>
        <w:t>НПП «</w:t>
      </w:r>
      <w:proofErr w:type="spellStart"/>
      <w:r w:rsidR="00A528E5">
        <w:rPr>
          <w:rFonts w:cs="Times New Roman"/>
          <w:b/>
          <w:bCs/>
          <w:iCs/>
          <w:color w:val="000000"/>
          <w:szCs w:val="28"/>
        </w:rPr>
        <w:t>Велд</w:t>
      </w:r>
      <w:proofErr w:type="spellEnd"/>
      <w:r w:rsidR="00A528E5">
        <w:rPr>
          <w:rFonts w:cs="Times New Roman"/>
          <w:b/>
          <w:bCs/>
          <w:iCs/>
          <w:color w:val="000000"/>
          <w:szCs w:val="28"/>
        </w:rPr>
        <w:t>»</w:t>
      </w:r>
      <w:bookmarkEnd w:id="14"/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Всего на предприятии 65 источников загрязнения, 56 из которых организованные. В выбросах присутствуют 40 ингредиентов. Институт имеет разрешение на выбросы. Все нормативы ПДВ утверждены, как предельно-допустимые. </w:t>
      </w:r>
      <w:r w:rsidRPr="003D7BBD">
        <w:rPr>
          <w:rFonts w:ascii="Times New Roman" w:hAnsi="Times New Roman" w:cs="Times New Roman"/>
          <w:sz w:val="28"/>
          <w:szCs w:val="28"/>
        </w:rPr>
        <w:t>Выбросы загрязняющих веществ в атмосферу представлены в таблице 17.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sz w:val="28"/>
          <w:szCs w:val="28"/>
        </w:rPr>
        <w:t>Основная продукция предприятия не оказывает отрицательного воздействия на атмосферный воздух. При контроле норм ПДВ, их превышение не обнаружено.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sz w:val="28"/>
          <w:szCs w:val="28"/>
        </w:rPr>
        <w:t xml:space="preserve">Технология процессов вспомогательных участков </w:t>
      </w:r>
      <w:r w:rsidR="003D7BBD">
        <w:rPr>
          <w:rFonts w:ascii="Times New Roman" w:hAnsi="Times New Roman" w:cs="Times New Roman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sz w:val="28"/>
          <w:szCs w:val="28"/>
        </w:rPr>
        <w:t xml:space="preserve"> исключает возможность возникновения аварийных и залповых выбросов.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3D7BBD">
        <w:rPr>
          <w:rFonts w:ascii="Times New Roman" w:hAnsi="Times New Roman" w:cs="Times New Roman"/>
          <w:sz w:val="28"/>
          <w:szCs w:val="28"/>
        </w:rPr>
        <w:t xml:space="preserve">На предприятии имеется 6 единиц </w:t>
      </w:r>
      <w:proofErr w:type="spellStart"/>
      <w:r w:rsidRPr="003D7BBD">
        <w:rPr>
          <w:rFonts w:ascii="Times New Roman" w:hAnsi="Times New Roman" w:cs="Times New Roman"/>
          <w:sz w:val="28"/>
          <w:szCs w:val="28"/>
        </w:rPr>
        <w:t>пылегазоулавливающего</w:t>
      </w:r>
      <w:proofErr w:type="spellEnd"/>
      <w:r w:rsidRPr="003D7BBD">
        <w:rPr>
          <w:rFonts w:ascii="Times New Roman" w:hAnsi="Times New Roman" w:cs="Times New Roman"/>
          <w:sz w:val="28"/>
          <w:szCs w:val="28"/>
        </w:rPr>
        <w:t xml:space="preserve"> оборудования. Все установки работают эффективно.</w:t>
      </w:r>
    </w:p>
    <w:p w:rsidR="003D7BBD" w:rsidRDefault="003D7BBD" w:rsidP="003D7BBD">
      <w:pPr>
        <w:shd w:val="clear" w:color="auto" w:fill="FFFFFF"/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3D7BBD" w:rsidRDefault="003D7BBD" w:rsidP="003D7BBD">
      <w:pPr>
        <w:shd w:val="clear" w:color="auto" w:fill="FFFFFF"/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:rsidR="00920386" w:rsidRPr="003D7BBD" w:rsidRDefault="00920386" w:rsidP="003D7BBD">
      <w:pPr>
        <w:shd w:val="clear" w:color="auto" w:fill="FFFFFF"/>
        <w:ind w:firstLine="567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lastRenderedPageBreak/>
        <w:t xml:space="preserve">Таблица 17 – </w:t>
      </w:r>
      <w:r w:rsidRPr="003D7BBD">
        <w:rPr>
          <w:rFonts w:ascii="Times New Roman" w:hAnsi="Times New Roman" w:cs="Times New Roman"/>
          <w:sz w:val="28"/>
          <w:szCs w:val="28"/>
        </w:rPr>
        <w:t>Выбросы загрязняющих веществ в атмосферу</w:t>
      </w:r>
    </w:p>
    <w:tbl>
      <w:tblPr>
        <w:tblW w:w="8790" w:type="dxa"/>
        <w:jc w:val="center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4"/>
        <w:gridCol w:w="3260"/>
        <w:gridCol w:w="2268"/>
        <w:gridCol w:w="2268"/>
      </w:tblGrid>
      <w:tr w:rsidR="00920386" w:rsidRPr="00B36D33" w:rsidTr="00A528E5">
        <w:trPr>
          <w:trHeight w:val="75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 п/п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Загрязняющее вещество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Фактический выброс, т/год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Разрешённый выброс, т/год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Диоксид азота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0,0305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0,0335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Оксид углерода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0,3131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0,3731</w:t>
            </w:r>
          </w:p>
        </w:tc>
      </w:tr>
      <w:tr w:rsidR="00920386" w:rsidRPr="00B36D33" w:rsidTr="00A528E5">
        <w:trPr>
          <w:trHeight w:val="34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Диоксид серы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0,0010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0,0011</w:t>
            </w:r>
          </w:p>
        </w:tc>
      </w:tr>
      <w:tr w:rsidR="00920386" w:rsidRPr="00B36D33" w:rsidTr="00A528E5">
        <w:trPr>
          <w:trHeight w:val="49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Оксид алюминия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0,0134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0,0194</w:t>
            </w:r>
          </w:p>
        </w:tc>
      </w:tr>
      <w:tr w:rsidR="00920386" w:rsidRPr="00B36D33" w:rsidTr="00A528E5">
        <w:trPr>
          <w:trHeight w:val="49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Диоксид марганца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0,00086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0,00106</w:t>
            </w:r>
          </w:p>
        </w:tc>
      </w:tr>
      <w:tr w:rsidR="00920386" w:rsidRPr="00B36D33" w:rsidTr="00A528E5">
        <w:trPr>
          <w:trHeight w:val="33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Оксид железа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0,094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0,115</w:t>
            </w:r>
          </w:p>
        </w:tc>
      </w:tr>
      <w:tr w:rsidR="00920386" w:rsidRPr="00B36D33" w:rsidTr="00A528E5">
        <w:trPr>
          <w:trHeight w:val="51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Фтористый водород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0,00091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0,00102</w:t>
            </w:r>
          </w:p>
        </w:tc>
      </w:tr>
      <w:tr w:rsidR="00920386" w:rsidRPr="00B36D33" w:rsidTr="00A528E5">
        <w:trPr>
          <w:trHeight w:val="5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абразивная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0,01002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0,01199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Ксилол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0,02427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0,02954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Уайт - спирит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0,0217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0,0293</w:t>
            </w:r>
          </w:p>
        </w:tc>
      </w:tr>
      <w:tr w:rsidR="00920386" w:rsidRPr="00B36D33" w:rsidTr="00A528E5">
        <w:trPr>
          <w:trHeight w:val="2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Керосин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0,0093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0,0116</w:t>
            </w:r>
          </w:p>
        </w:tc>
      </w:tr>
      <w:tr w:rsidR="00920386" w:rsidRPr="00B36D33" w:rsidTr="00A528E5">
        <w:trPr>
          <w:trHeight w:val="2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Бензин нефтяной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0,0705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0,0605</w:t>
            </w:r>
          </w:p>
        </w:tc>
      </w:tr>
      <w:tr w:rsidR="00920386" w:rsidRPr="00B36D33" w:rsidTr="00A528E5">
        <w:trPr>
          <w:trHeight w:val="48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Бутиловый спирт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0,0015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0,0025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древесная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0,051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</w:t>
            </w:r>
          </w:p>
        </w:tc>
      </w:tr>
      <w:tr w:rsidR="00920386" w:rsidRPr="00B36D33" w:rsidTr="00A528E5">
        <w:trPr>
          <w:trHeight w:val="464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стеклопластика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0,2097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0,2492</w:t>
            </w:r>
          </w:p>
        </w:tc>
      </w:tr>
      <w:tr w:rsidR="00920386" w:rsidRPr="00B36D33" w:rsidTr="00A528E5">
        <w:trPr>
          <w:trHeight w:val="30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Свинец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0,0002097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0,0002545</w:t>
            </w:r>
          </w:p>
        </w:tc>
      </w:tr>
      <w:tr w:rsidR="00920386" w:rsidRPr="00B36D33" w:rsidTr="00A528E5">
        <w:trPr>
          <w:trHeight w:val="5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Изопропиловый спирт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0,157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0,199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Серная кислота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0,00687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0,0073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Аммиак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0,0883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Озон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0,00039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0,00041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Толуол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0,0360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0,037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Ацетон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0,32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0,330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Бутилацетат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0,031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0,047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Этилбензол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0,000047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0,00005</w:t>
            </w:r>
          </w:p>
        </w:tc>
      </w:tr>
      <w:tr w:rsidR="00920386" w:rsidRPr="00B36D33" w:rsidTr="00A528E5">
        <w:trPr>
          <w:trHeight w:val="270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Эпихлоргидрин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0,0003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0,0006</w:t>
            </w:r>
          </w:p>
        </w:tc>
      </w:tr>
      <w:tr w:rsidR="00920386" w:rsidRPr="00B36D33" w:rsidTr="00A528E5">
        <w:trPr>
          <w:trHeight w:val="255"/>
          <w:jc w:val="center"/>
        </w:trPr>
        <w:tc>
          <w:tcPr>
            <w:tcW w:w="994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3" w:right="-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Этиловый спирт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Cs/>
                <w:sz w:val="28"/>
                <w:szCs w:val="28"/>
              </w:rPr>
              <w:t>0,081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:rsidR="00920386" w:rsidRPr="003D7BBD" w:rsidRDefault="00920386" w:rsidP="00A528E5">
            <w:pPr>
              <w:ind w:left="1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0,091</w:t>
            </w:r>
          </w:p>
        </w:tc>
      </w:tr>
    </w:tbl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3D7BBD" w:rsidRDefault="003D7BBD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557433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/>
          <w:bCs/>
          <w:iCs/>
          <w:color w:val="000000"/>
          <w:szCs w:val="28"/>
        </w:rPr>
      </w:pPr>
      <w:bookmarkStart w:id="15" w:name="_Toc326089530"/>
      <w:r w:rsidRPr="00557433">
        <w:rPr>
          <w:rFonts w:cs="Times New Roman"/>
          <w:b/>
          <w:bCs/>
          <w:iCs/>
          <w:color w:val="000000"/>
          <w:szCs w:val="28"/>
        </w:rPr>
        <w:t xml:space="preserve">Характеристика </w:t>
      </w:r>
      <w:r w:rsidR="00A528E5">
        <w:rPr>
          <w:rFonts w:cs="Times New Roman"/>
          <w:b/>
          <w:bCs/>
          <w:iCs/>
          <w:color w:val="000000"/>
          <w:szCs w:val="28"/>
        </w:rPr>
        <w:t>НПП «</w:t>
      </w:r>
      <w:proofErr w:type="spellStart"/>
      <w:r w:rsidR="00A528E5">
        <w:rPr>
          <w:rFonts w:cs="Times New Roman"/>
          <w:b/>
          <w:bCs/>
          <w:iCs/>
          <w:color w:val="000000"/>
          <w:szCs w:val="28"/>
        </w:rPr>
        <w:t>Велд</w:t>
      </w:r>
      <w:proofErr w:type="spellEnd"/>
      <w:r w:rsidR="00A528E5">
        <w:rPr>
          <w:rFonts w:cs="Times New Roman"/>
          <w:b/>
          <w:bCs/>
          <w:iCs/>
          <w:color w:val="000000"/>
          <w:szCs w:val="28"/>
        </w:rPr>
        <w:t>»</w:t>
      </w:r>
      <w:r w:rsidRPr="00557433">
        <w:rPr>
          <w:rFonts w:cs="Times New Roman"/>
          <w:b/>
          <w:bCs/>
          <w:iCs/>
          <w:color w:val="000000"/>
          <w:szCs w:val="28"/>
        </w:rPr>
        <w:t>, как источника загрязнения отходами</w:t>
      </w:r>
      <w:bookmarkEnd w:id="15"/>
    </w:p>
    <w:p w:rsidR="00920386" w:rsidRDefault="00920386" w:rsidP="00920386">
      <w:pPr>
        <w:shd w:val="clear" w:color="auto" w:fill="FFFFFF"/>
        <w:rPr>
          <w:rFonts w:cs="Times New Roman"/>
          <w:bCs/>
          <w:iCs/>
          <w:color w:val="000000"/>
          <w:szCs w:val="28"/>
        </w:rPr>
      </w:pP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Все отходы, размещаемые на </w:t>
      </w:r>
      <w:proofErr w:type="spellStart"/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пром</w:t>
      </w:r>
      <w:proofErr w:type="spellEnd"/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. площадке </w:t>
      </w:r>
      <w:r w:rsid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, образуются от вспомогательных участков. Основная деятельность предприятия не приводит в образованию отходов.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План мероприятий по сдаче и утилизации отходов выполняется в полном объёме. Количество отходов, размещаемых на территории предприятия, не превышает разрешённых.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Сведения об образовании отходов представлены в таблице 18.</w:t>
      </w:r>
    </w:p>
    <w:p w:rsidR="00920386" w:rsidRPr="003D7BBD" w:rsidRDefault="00920386" w:rsidP="003D7BBD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3D7BB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Таблица 18 – Сведения об образовании отходов </w:t>
      </w:r>
    </w:p>
    <w:tbl>
      <w:tblPr>
        <w:tblW w:w="95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9"/>
        <w:gridCol w:w="2030"/>
        <w:gridCol w:w="1851"/>
        <w:gridCol w:w="1977"/>
      </w:tblGrid>
      <w:tr w:rsidR="00920386" w:rsidRPr="0060311B" w:rsidTr="00A528E5">
        <w:trPr>
          <w:trHeight w:val="117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Наименование отходов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Образовавшиеся отходы за 2011г., т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Наличие отходов на 31 декабря 2011 г., т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Норматив образования отходов за год, т</w:t>
            </w:r>
          </w:p>
        </w:tc>
      </w:tr>
      <w:tr w:rsidR="00920386" w:rsidRPr="004A0AB2" w:rsidTr="00A528E5">
        <w:trPr>
          <w:trHeight w:val="116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20386" w:rsidRPr="0060311B" w:rsidTr="00A528E5">
        <w:trPr>
          <w:trHeight w:val="187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Всего отходов: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57,1882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0,5700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67,1371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1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0,3002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0,0400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0,5260</w:t>
            </w:r>
          </w:p>
        </w:tc>
      </w:tr>
      <w:tr w:rsidR="00920386" w:rsidRPr="0060311B" w:rsidTr="00A528E5">
        <w:trPr>
          <w:trHeight w:val="78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Ртутные лампы, люминесцентные ртутьсодержащие трубки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0,3002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0,5260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2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0,0800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0,0800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1,1260</w:t>
            </w:r>
          </w:p>
        </w:tc>
      </w:tr>
      <w:tr w:rsidR="00920386" w:rsidRPr="0060311B" w:rsidTr="00A528E5">
        <w:trPr>
          <w:trHeight w:val="428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Аккумуляторы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0,0800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0,0800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1,1260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3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0,8280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0,2000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0,9674</w:t>
            </w:r>
          </w:p>
        </w:tc>
      </w:tr>
      <w:tr w:rsidR="00920386" w:rsidRPr="0060311B" w:rsidTr="00A528E5">
        <w:trPr>
          <w:trHeight w:val="46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Масла автомобильные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0,8000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0,8290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Автомобильные масляные фильтры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0,0184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4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36,2070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0,1200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39,0127</w:t>
            </w:r>
          </w:p>
        </w:tc>
      </w:tr>
      <w:tr w:rsidR="00920386" w:rsidRPr="0060311B" w:rsidTr="00A528E5">
        <w:trPr>
          <w:trHeight w:val="67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Обтирочный материал, загрязнённый маслами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0,3010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0,3010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Песок, загрязнённый бензином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0,2000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0,2000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стеклопластика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0,5810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0,5810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Покрышки с металлическим кордом отработанные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0,5360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0,1200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0,5470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0,0042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0,0066</w:t>
            </w:r>
          </w:p>
        </w:tc>
      </w:tr>
      <w:tr w:rsidR="00920386" w:rsidRPr="0060311B" w:rsidTr="00A528E5">
        <w:trPr>
          <w:trHeight w:val="149"/>
        </w:trPr>
        <w:tc>
          <w:tcPr>
            <w:tcW w:w="3659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51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77" w:type="dxa"/>
            <w:tcBorders>
              <w:top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20386" w:rsidRPr="0060311B" w:rsidTr="00A528E5">
        <w:trPr>
          <w:trHeight w:val="495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3D7BB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Продолжение таблицы 19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51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77" w:type="dxa"/>
            <w:tcBorders>
              <w:bottom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60311B" w:rsidRDefault="00920386" w:rsidP="00A528E5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920386" w:rsidRPr="0060311B" w:rsidTr="00A528E5">
        <w:trPr>
          <w:trHeight w:val="299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20386" w:rsidRPr="0060311B" w:rsidTr="00A528E5">
        <w:trPr>
          <w:trHeight w:val="196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Пыль от шлифования чёрных металлов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0,9030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0,9030</w:t>
            </w:r>
          </w:p>
        </w:tc>
      </w:tr>
      <w:tr w:rsidR="00920386" w:rsidRPr="0060311B" w:rsidTr="00A528E5">
        <w:trPr>
          <w:trHeight w:val="675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Медицинские отходы 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0,0650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0,0650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Шлак сварочный</w:t>
            </w:r>
          </w:p>
        </w:tc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0,1250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0,1250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Отходы тканей, старая одежда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0,0600</w:t>
            </w:r>
          </w:p>
        </w:tc>
        <w:tc>
          <w:tcPr>
            <w:tcW w:w="1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0,0600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Пепел от сжигания бумаги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0,2980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0,2980</w:t>
            </w:r>
          </w:p>
        </w:tc>
      </w:tr>
      <w:tr w:rsidR="00920386" w:rsidRPr="0060311B" w:rsidTr="00A528E5">
        <w:trPr>
          <w:trHeight w:val="25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5 класс опасности: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19,7730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0,1300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b/>
                <w:sz w:val="28"/>
                <w:szCs w:val="28"/>
              </w:rPr>
              <w:t>25,5050</w:t>
            </w:r>
          </w:p>
        </w:tc>
      </w:tr>
      <w:tr w:rsidR="00920386" w:rsidRPr="0060311B" w:rsidTr="00A528E5">
        <w:trPr>
          <w:trHeight w:val="675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Лом абразивных кругов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0,0290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Лом чёрных металлов 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12,4370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13,1320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Стружка алюминиевая незагрязнённая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0,1360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Остатки и огарки стальных сварочных электродов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0,0190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0,0190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 xml:space="preserve">Тормозные колодки </w:t>
            </w: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отработанные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0,5140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0,5140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Свечи зажигания автомобильные отработанные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0,0120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0,0120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Опилки натуральной чистой древесины (Р = 0,4 т/м³)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1,3500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1,3500</w:t>
            </w:r>
          </w:p>
        </w:tc>
      </w:tr>
      <w:tr w:rsidR="00920386" w:rsidRPr="0060311B" w:rsidTr="00A528E5">
        <w:trPr>
          <w:trHeight w:val="450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Электрические лампы накаливания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0,0480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0,0480</w:t>
            </w:r>
          </w:p>
        </w:tc>
      </w:tr>
      <w:tr w:rsidR="00920386" w:rsidRPr="0060311B" w:rsidTr="00A528E5">
        <w:trPr>
          <w:trHeight w:val="403"/>
        </w:trPr>
        <w:tc>
          <w:tcPr>
            <w:tcW w:w="36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Пищевые отходы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2,4800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0,0000</w:t>
            </w:r>
          </w:p>
        </w:tc>
        <w:tc>
          <w:tcPr>
            <w:tcW w:w="1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:rsidR="00920386" w:rsidRPr="003D7BBD" w:rsidRDefault="00920386" w:rsidP="00A528E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D7BBD">
              <w:rPr>
                <w:rFonts w:ascii="Times New Roman" w:hAnsi="Times New Roman" w:cs="Times New Roman"/>
                <w:sz w:val="28"/>
                <w:szCs w:val="28"/>
              </w:rPr>
              <w:t>2,4800</w:t>
            </w:r>
          </w:p>
        </w:tc>
      </w:tr>
    </w:tbl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4927BF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/>
          <w:bCs/>
          <w:iCs/>
          <w:color w:val="000000"/>
          <w:szCs w:val="28"/>
        </w:rPr>
      </w:pPr>
      <w:bookmarkStart w:id="16" w:name="_Toc326089531"/>
      <w:r w:rsidRPr="004927BF">
        <w:rPr>
          <w:rFonts w:cs="Times New Roman"/>
          <w:b/>
          <w:bCs/>
          <w:iCs/>
          <w:color w:val="000000"/>
          <w:szCs w:val="28"/>
        </w:rPr>
        <w:t xml:space="preserve">Характеристика сбросов </w:t>
      </w:r>
      <w:r w:rsidR="00A528E5">
        <w:rPr>
          <w:rFonts w:cs="Times New Roman"/>
          <w:b/>
          <w:bCs/>
          <w:iCs/>
          <w:color w:val="000000"/>
          <w:szCs w:val="28"/>
        </w:rPr>
        <w:t>НПП «</w:t>
      </w:r>
      <w:proofErr w:type="spellStart"/>
      <w:r w:rsidR="00A528E5">
        <w:rPr>
          <w:rFonts w:cs="Times New Roman"/>
          <w:b/>
          <w:bCs/>
          <w:iCs/>
          <w:color w:val="000000"/>
          <w:szCs w:val="28"/>
        </w:rPr>
        <w:t>Велд</w:t>
      </w:r>
      <w:proofErr w:type="spellEnd"/>
      <w:r w:rsidR="00A528E5">
        <w:rPr>
          <w:rFonts w:cs="Times New Roman"/>
          <w:b/>
          <w:bCs/>
          <w:iCs/>
          <w:color w:val="000000"/>
          <w:szCs w:val="28"/>
        </w:rPr>
        <w:t>»</w:t>
      </w:r>
      <w:bookmarkEnd w:id="16"/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Основная деятельность </w:t>
      </w:r>
      <w:r w:rsidR="003D7BBD"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предприятия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не приводит к образованию вредных сбросов.  Большая часть стоков </w:t>
      </w:r>
      <w:r w:rsidR="00A528E5"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НПП «</w:t>
      </w:r>
      <w:proofErr w:type="spellStart"/>
      <w:r w:rsidR="00A528E5"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Велд</w:t>
      </w:r>
      <w:proofErr w:type="spellEnd"/>
      <w:r w:rsidR="00A528E5"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»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– </w:t>
      </w:r>
      <w:proofErr w:type="spellStart"/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комунально</w:t>
      </w:r>
      <w:proofErr w:type="spellEnd"/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-бытовые.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 институте имеется участок печатных плат, стоки которого поступают на городские очистные сооружения. В связи с единичным характером производства сброс сточных вод незначителен и составляет не более 10 м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perscript"/>
        </w:rPr>
        <w:t>3</w:t>
      </w: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/год. До выполнения мероприятий концентрация ионов меди в стоках составляла 12 мг/л и рН от 6 до 10. (Годовой сброс меди – 120 г.).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Для сокращения сбросов меди на участке установили промывочную ванну-сборник, промывочная вода из которой в канализацию не поступает, а используется для корректировки ванны </w:t>
      </w:r>
      <w:proofErr w:type="spellStart"/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меднения</w:t>
      </w:r>
      <w:proofErr w:type="spellEnd"/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На участке организован контроль сбросов меди. После выполнения мероприятий концентрация ионов меди в сбросах составляет 0,28 мг/л и рН – 7,67. (Годовой сброс меди составляет 2,8 г.).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Участок гальванических покрытий, дающий основные загрязнения, в институте отсутствует.</w:t>
      </w:r>
    </w:p>
    <w:p w:rsidR="00920386" w:rsidRPr="00511551" w:rsidRDefault="00920386" w:rsidP="00511551">
      <w:pPr>
        <w:shd w:val="clear" w:color="auto" w:fill="FFFFFF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Сброс </w:t>
      </w:r>
      <w:proofErr w:type="spellStart"/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комунально</w:t>
      </w:r>
      <w:proofErr w:type="spellEnd"/>
      <w:r w:rsidRPr="0051155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-бытовых стоков осуществляется на городские очистные сооружения, в соответствии с заключенным договором.</w:t>
      </w:r>
      <w:bookmarkStart w:id="17" w:name="_Toc294949015"/>
      <w:bookmarkStart w:id="18" w:name="_Toc294950588"/>
      <w:bookmarkStart w:id="19" w:name="_Toc294957609"/>
    </w:p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511551" w:rsidRDefault="00511551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511551" w:rsidRDefault="00511551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511551" w:rsidRDefault="00511551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920386" w:rsidRPr="004927BF" w:rsidRDefault="00920386" w:rsidP="00920386">
      <w:pPr>
        <w:pStyle w:val="a3"/>
        <w:numPr>
          <w:ilvl w:val="2"/>
          <w:numId w:val="1"/>
        </w:numPr>
        <w:shd w:val="clear" w:color="auto" w:fill="FFFFFF"/>
        <w:jc w:val="center"/>
        <w:outlineLvl w:val="2"/>
        <w:rPr>
          <w:rFonts w:cs="Times New Roman"/>
          <w:bCs/>
          <w:iCs/>
          <w:color w:val="000000"/>
          <w:szCs w:val="28"/>
        </w:rPr>
      </w:pPr>
      <w:bookmarkStart w:id="20" w:name="_Toc326089532"/>
      <w:r w:rsidRPr="004927BF">
        <w:rPr>
          <w:b/>
        </w:rPr>
        <w:lastRenderedPageBreak/>
        <w:t>Мероприятия   по защите окружающей среды</w:t>
      </w:r>
      <w:bookmarkEnd w:id="17"/>
      <w:bookmarkEnd w:id="18"/>
      <w:bookmarkEnd w:id="19"/>
      <w:bookmarkEnd w:id="20"/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При осуществлении деятельности по сбору, использованию, размещению, транспортировке, и обезвреживанию опасных отходов на предприятии разрабатываются мероприятия, направленные на снижение негативного воздействия образующихся отходов на окружающую среду.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z w:val="28"/>
          <w:szCs w:val="28"/>
        </w:rPr>
        <w:t>На предприятии разработана и применяется методологическая инст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рукция «Порядок сбора и сдачи отходов производства на утилизацию»</w:t>
      </w: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Основными мероприятиями по предотвращению негативного воздействия отходов на окружающую природную среду являются:</w:t>
      </w:r>
    </w:p>
    <w:p w:rsidR="00920386" w:rsidRPr="00511551" w:rsidRDefault="00920386" w:rsidP="00511551">
      <w:pPr>
        <w:shd w:val="clear" w:color="auto" w:fill="FFFFFF"/>
        <w:tabs>
          <w:tab w:val="left" w:pos="1459"/>
        </w:tabs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25"/>
          <w:sz w:val="28"/>
          <w:szCs w:val="28"/>
        </w:rPr>
        <w:t>1)</w:t>
      </w:r>
      <w:r w:rsidRPr="005115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осуществление контроля:</w:t>
      </w:r>
    </w:p>
    <w:p w:rsidR="00920386" w:rsidRPr="00511551" w:rsidRDefault="00920386" w:rsidP="00511551">
      <w:pPr>
        <w:shd w:val="clear" w:color="auto" w:fill="FFFFFF"/>
        <w:ind w:right="5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z w:val="28"/>
          <w:szCs w:val="28"/>
        </w:rPr>
        <w:t xml:space="preserve"> - за раздельным сбором отходов по видам;</w:t>
      </w:r>
    </w:p>
    <w:p w:rsidR="00920386" w:rsidRPr="00511551" w:rsidRDefault="00920386" w:rsidP="00511551">
      <w:pPr>
        <w:shd w:val="clear" w:color="auto" w:fill="FFFFFF"/>
        <w:ind w:right="57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- за соблюдением условий временного накопления отходов на </w:t>
      </w:r>
      <w:proofErr w:type="spellStart"/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пром</w:t>
      </w:r>
      <w:proofErr w:type="spellEnd"/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-</w:t>
      </w:r>
      <w:r w:rsidRPr="00511551">
        <w:rPr>
          <w:rFonts w:ascii="Times New Roman" w:hAnsi="Times New Roman" w:cs="Times New Roman"/>
          <w:color w:val="000000"/>
          <w:spacing w:val="5"/>
          <w:sz w:val="28"/>
          <w:szCs w:val="28"/>
        </w:rPr>
        <w:t xml:space="preserve">площадках и соответствием мест временного хранения СанПиН </w:t>
      </w: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2.1.7.1322-03;</w:t>
      </w:r>
    </w:p>
    <w:p w:rsidR="00920386" w:rsidRPr="00511551" w:rsidRDefault="00920386" w:rsidP="00511551">
      <w:pPr>
        <w:shd w:val="clear" w:color="auto" w:fill="FFFFFF"/>
        <w:tabs>
          <w:tab w:val="left" w:pos="1459"/>
        </w:tabs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8"/>
          <w:sz w:val="28"/>
          <w:szCs w:val="28"/>
        </w:rPr>
        <w:t>2)</w:t>
      </w:r>
      <w:r w:rsidRPr="00511551">
        <w:rPr>
          <w:rFonts w:ascii="Times New Roman" w:hAnsi="Times New Roman" w:cs="Times New Roman"/>
          <w:color w:val="000000"/>
          <w:sz w:val="28"/>
          <w:szCs w:val="28"/>
        </w:rPr>
        <w:t xml:space="preserve"> ведение учета образования и движения отходов.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Основным мероприятием по смягчению воздействия отходов на окру</w:t>
      </w:r>
      <w:r w:rsidRPr="00511551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жающую среду является своевременная сдача отходов в специализированные 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предприятия. Для этого в </w:t>
      </w:r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НПП «</w:t>
      </w:r>
      <w:proofErr w:type="spellStart"/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Велд</w:t>
      </w:r>
      <w:proofErr w:type="spellEnd"/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»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осуществляется заклю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2"/>
          <w:sz w:val="28"/>
          <w:szCs w:val="28"/>
        </w:rPr>
        <w:t>чение договоров со специализированными предприятиями и составление тех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>нического отчет с документальным подтверждением передачи отходов сто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ронним организациям.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На предприятии имеются очистные сооружения ливневой канализации, где образуются:</w:t>
      </w:r>
      <w:r w:rsidRPr="00511551">
        <w:rPr>
          <w:rFonts w:ascii="Times New Roman" w:hAnsi="Times New Roman" w:cs="Times New Roman"/>
          <w:sz w:val="28"/>
          <w:szCs w:val="28"/>
        </w:rPr>
        <w:t xml:space="preserve"> </w:t>
      </w:r>
      <w:r w:rsidRPr="00511551">
        <w:rPr>
          <w:rFonts w:ascii="Times New Roman" w:hAnsi="Times New Roman" w:cs="Times New Roman"/>
          <w:iCs/>
          <w:color w:val="000000"/>
          <w:spacing w:val="7"/>
          <w:sz w:val="28"/>
          <w:szCs w:val="28"/>
        </w:rPr>
        <w:t>угольные  фильтры  отработанные,  загрязненные минераль</w:t>
      </w:r>
      <w:r w:rsidRPr="00511551">
        <w:rPr>
          <w:rFonts w:ascii="Times New Roman" w:hAnsi="Times New Roman" w:cs="Times New Roman"/>
          <w:iCs/>
          <w:color w:val="000000"/>
          <w:spacing w:val="7"/>
          <w:sz w:val="28"/>
          <w:szCs w:val="28"/>
        </w:rPr>
        <w:softHyphen/>
      </w:r>
      <w:r w:rsidRPr="00511551">
        <w:rPr>
          <w:rFonts w:ascii="Times New Roman" w:hAnsi="Times New Roman" w:cs="Times New Roman"/>
          <w:iCs/>
          <w:color w:val="000000"/>
          <w:spacing w:val="4"/>
          <w:sz w:val="28"/>
          <w:szCs w:val="28"/>
        </w:rPr>
        <w:t>ными маслами (содержание масел</w:t>
      </w:r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– </w:t>
      </w:r>
      <w:r w:rsidRPr="00511551">
        <w:rPr>
          <w:rFonts w:ascii="Times New Roman" w:hAnsi="Times New Roman" w:cs="Times New Roman"/>
          <w:iCs/>
          <w:color w:val="000000"/>
          <w:spacing w:val="4"/>
          <w:sz w:val="28"/>
          <w:szCs w:val="28"/>
        </w:rPr>
        <w:t xml:space="preserve">15% и долее), </w:t>
      </w:r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кокс, отходы </w:t>
      </w:r>
      <w:proofErr w:type="spellStart"/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t>нефтело</w:t>
      </w:r>
      <w:r w:rsidRPr="00511551">
        <w:rPr>
          <w:rFonts w:ascii="Times New Roman" w:hAnsi="Times New Roman" w:cs="Times New Roman"/>
          <w:color w:val="000000"/>
          <w:spacing w:val="4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>вушки</w:t>
      </w:r>
      <w:proofErr w:type="spellEnd"/>
      <w:r w:rsidRPr="0051155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; </w:t>
      </w:r>
      <w:r w:rsidRPr="00511551">
        <w:rPr>
          <w:rFonts w:ascii="Times New Roman" w:hAnsi="Times New Roman" w:cs="Times New Roman"/>
          <w:iCs/>
          <w:color w:val="000000"/>
          <w:spacing w:val="9"/>
          <w:sz w:val="28"/>
          <w:szCs w:val="28"/>
        </w:rPr>
        <w:t xml:space="preserve">отходы (осадки) при механической и биологической очистке </w:t>
      </w:r>
      <w:r w:rsidRPr="00511551">
        <w:rPr>
          <w:rFonts w:ascii="Times New Roman" w:hAnsi="Times New Roman" w:cs="Times New Roman"/>
          <w:iCs/>
          <w:color w:val="000000"/>
          <w:spacing w:val="1"/>
          <w:sz w:val="28"/>
          <w:szCs w:val="28"/>
        </w:rPr>
        <w:t>сточных вод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>, песок от песколовки.</w:t>
      </w:r>
    </w:p>
    <w:p w:rsidR="00920386" w:rsidRPr="00511551" w:rsidRDefault="00920386" w:rsidP="00511551">
      <w:pPr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sz w:val="28"/>
          <w:szCs w:val="28"/>
        </w:rPr>
        <w:t>Отходы собираются в специальные приемники и подлежат вывозу.</w:t>
      </w:r>
    </w:p>
    <w:p w:rsidR="00920386" w:rsidRPr="00511551" w:rsidRDefault="00920386" w:rsidP="00511551">
      <w:pPr>
        <w:shd w:val="clear" w:color="auto" w:fill="FFFFFF"/>
        <w:ind w:right="57"/>
        <w:jc w:val="both"/>
        <w:rPr>
          <w:rFonts w:ascii="Times New Roman" w:hAnsi="Times New Roman" w:cs="Times New Roman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>Осуществляемые мероприятия по своевременному вывозу образую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щихся и временно накапливаемых на </w:t>
      </w:r>
      <w:proofErr w:type="spellStart"/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пром</w:t>
      </w:r>
      <w:proofErr w:type="spellEnd"/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. площадке отходов позволят не </w:t>
      </w:r>
      <w:r w:rsidRPr="00511551">
        <w:rPr>
          <w:rFonts w:ascii="Times New Roman" w:hAnsi="Times New Roman" w:cs="Times New Roman"/>
          <w:color w:val="000000"/>
          <w:sz w:val="28"/>
          <w:szCs w:val="28"/>
        </w:rPr>
        <w:t>превышать нормативов образования и лимитов их размещения.</w:t>
      </w:r>
    </w:p>
    <w:p w:rsidR="00920386" w:rsidRPr="00511551" w:rsidRDefault="00920386" w:rsidP="00511551">
      <w:pPr>
        <w:shd w:val="clear" w:color="auto" w:fill="FFFFFF"/>
        <w:ind w:firstLine="567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511551">
        <w:rPr>
          <w:rFonts w:ascii="Times New Roman" w:hAnsi="Times New Roman" w:cs="Times New Roman"/>
          <w:color w:val="000000"/>
          <w:spacing w:val="2"/>
          <w:sz w:val="28"/>
          <w:szCs w:val="28"/>
        </w:rPr>
        <w:lastRenderedPageBreak/>
        <w:t xml:space="preserve">Мероприятия </w:t>
      </w:r>
      <w:r w:rsidRPr="00511551">
        <w:rPr>
          <w:rFonts w:ascii="Times New Roman" w:hAnsi="Times New Roman" w:cs="Times New Roman"/>
          <w:iCs/>
          <w:color w:val="000000"/>
          <w:spacing w:val="2"/>
          <w:sz w:val="28"/>
          <w:szCs w:val="28"/>
        </w:rPr>
        <w:t xml:space="preserve">по </w:t>
      </w:r>
      <w:r w:rsidRPr="00511551">
        <w:rPr>
          <w:rFonts w:ascii="Times New Roman" w:hAnsi="Times New Roman" w:cs="Times New Roman"/>
          <w:color w:val="000000"/>
          <w:spacing w:val="2"/>
          <w:sz w:val="28"/>
          <w:szCs w:val="28"/>
        </w:rPr>
        <w:t>уменьшению объемов образования отходов, внедре</w:t>
      </w:r>
      <w:r w:rsidRPr="00511551">
        <w:rPr>
          <w:rFonts w:ascii="Times New Roman" w:hAnsi="Times New Roman" w:cs="Times New Roman"/>
          <w:color w:val="000000"/>
          <w:spacing w:val="2"/>
          <w:sz w:val="28"/>
          <w:szCs w:val="28"/>
        </w:rPr>
        <w:softHyphen/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ния прогрессивных технологий и оборудования ежегодно разрабатываются и </w:t>
      </w:r>
      <w:r w:rsidRPr="00511551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утверждаются на предприятии </w:t>
      </w:r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НПП «</w:t>
      </w:r>
      <w:proofErr w:type="spellStart"/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Велд</w:t>
      </w:r>
      <w:proofErr w:type="spellEnd"/>
      <w:r w:rsidR="00A528E5"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»</w:t>
      </w:r>
      <w:r w:rsidRPr="00511551">
        <w:rPr>
          <w:rFonts w:ascii="Times New Roman" w:hAnsi="Times New Roman" w:cs="Times New Roman"/>
          <w:color w:val="000000"/>
          <w:spacing w:val="-1"/>
          <w:sz w:val="28"/>
          <w:szCs w:val="28"/>
        </w:rPr>
        <w:t>.</w:t>
      </w:r>
    </w:p>
    <w:p w:rsidR="00920386" w:rsidRDefault="00920386" w:rsidP="00920386">
      <w:pPr>
        <w:shd w:val="clear" w:color="auto" w:fill="FFFFFF"/>
        <w:ind w:firstLine="567"/>
        <w:rPr>
          <w:rFonts w:cs="Times New Roman"/>
          <w:color w:val="000000"/>
          <w:spacing w:val="-1"/>
          <w:szCs w:val="28"/>
        </w:rPr>
      </w:pPr>
    </w:p>
    <w:p w:rsidR="00920386" w:rsidRPr="004927BF" w:rsidRDefault="00920386" w:rsidP="00920386">
      <w:pPr>
        <w:pStyle w:val="a3"/>
        <w:numPr>
          <w:ilvl w:val="1"/>
          <w:numId w:val="1"/>
        </w:numPr>
        <w:shd w:val="clear" w:color="auto" w:fill="FFFFFF"/>
        <w:jc w:val="center"/>
        <w:outlineLvl w:val="1"/>
        <w:rPr>
          <w:rFonts w:cs="Times New Roman"/>
          <w:b/>
          <w:color w:val="000000"/>
          <w:spacing w:val="-1"/>
          <w:sz w:val="32"/>
          <w:szCs w:val="32"/>
        </w:rPr>
      </w:pPr>
      <w:bookmarkStart w:id="21" w:name="_Toc326089533"/>
      <w:r w:rsidRPr="004927BF">
        <w:rPr>
          <w:rFonts w:cs="Times New Roman"/>
          <w:b/>
          <w:color w:val="000000"/>
          <w:spacing w:val="-1"/>
          <w:sz w:val="32"/>
          <w:szCs w:val="32"/>
        </w:rPr>
        <w:t>Вывод</w:t>
      </w:r>
      <w:bookmarkEnd w:id="21"/>
    </w:p>
    <w:p w:rsidR="00920386" w:rsidRDefault="00920386" w:rsidP="00920386">
      <w:pPr>
        <w:pStyle w:val="a6"/>
        <w:rPr>
          <w:color w:val="000000"/>
          <w:spacing w:val="-10"/>
          <w:sz w:val="28"/>
          <w:szCs w:val="28"/>
        </w:rPr>
      </w:pPr>
      <w:r>
        <w:rPr>
          <w:color w:val="000000"/>
          <w:spacing w:val="-8"/>
          <w:sz w:val="28"/>
          <w:szCs w:val="28"/>
        </w:rPr>
        <w:t>П</w:t>
      </w:r>
      <w:r w:rsidRPr="005467AE">
        <w:rPr>
          <w:color w:val="000000"/>
          <w:spacing w:val="-8"/>
          <w:sz w:val="28"/>
          <w:szCs w:val="28"/>
        </w:rPr>
        <w:t>ри выполнении всех требований, правил и норм</w:t>
      </w:r>
      <w:r>
        <w:rPr>
          <w:color w:val="000000"/>
          <w:spacing w:val="-8"/>
          <w:sz w:val="28"/>
          <w:szCs w:val="28"/>
        </w:rPr>
        <w:t>,</w:t>
      </w:r>
      <w:r>
        <w:rPr>
          <w:sz w:val="28"/>
          <w:szCs w:val="28"/>
        </w:rPr>
        <w:t xml:space="preserve"> п</w:t>
      </w:r>
      <w:r w:rsidRPr="0059654A">
        <w:rPr>
          <w:sz w:val="28"/>
          <w:szCs w:val="28"/>
        </w:rPr>
        <w:t>роцесс деятельности</w:t>
      </w:r>
      <w:r>
        <w:rPr>
          <w:sz w:val="28"/>
          <w:szCs w:val="28"/>
        </w:rPr>
        <w:t xml:space="preserve"> </w:t>
      </w:r>
      <w:r w:rsidR="00A528E5">
        <w:rPr>
          <w:sz w:val="28"/>
          <w:szCs w:val="28"/>
        </w:rPr>
        <w:t>НПП «</w:t>
      </w:r>
      <w:proofErr w:type="spellStart"/>
      <w:r w:rsidR="00A528E5">
        <w:rPr>
          <w:sz w:val="28"/>
          <w:szCs w:val="28"/>
        </w:rPr>
        <w:t>Велд</w:t>
      </w:r>
      <w:proofErr w:type="spellEnd"/>
      <w:r w:rsidR="00A528E5">
        <w:rPr>
          <w:sz w:val="28"/>
          <w:szCs w:val="28"/>
        </w:rPr>
        <w:t>»</w:t>
      </w:r>
      <w:r>
        <w:rPr>
          <w:sz w:val="28"/>
          <w:szCs w:val="28"/>
        </w:rPr>
        <w:t xml:space="preserve"> при производстве блок</w:t>
      </w:r>
      <w:r w:rsidR="004636FA">
        <w:rPr>
          <w:sz w:val="28"/>
          <w:szCs w:val="28"/>
        </w:rPr>
        <w:t>а</w:t>
      </w:r>
      <w:r>
        <w:rPr>
          <w:sz w:val="28"/>
          <w:szCs w:val="28"/>
        </w:rPr>
        <w:t xml:space="preserve"> регулятора цикла сварки</w:t>
      </w:r>
      <w:r w:rsidRPr="005467AE">
        <w:rPr>
          <w:color w:val="000000"/>
          <w:spacing w:val="-8"/>
          <w:sz w:val="28"/>
          <w:szCs w:val="28"/>
        </w:rPr>
        <w:t xml:space="preserve"> можно назвать безопасным с точки зрения</w:t>
      </w:r>
      <w:r>
        <w:rPr>
          <w:color w:val="000000"/>
          <w:spacing w:val="-8"/>
          <w:sz w:val="28"/>
          <w:szCs w:val="28"/>
        </w:rPr>
        <w:t xml:space="preserve"> обеспечения</w:t>
      </w:r>
      <w:r w:rsidRPr="005467AE">
        <w:rPr>
          <w:color w:val="000000"/>
          <w:spacing w:val="-8"/>
          <w:sz w:val="28"/>
          <w:szCs w:val="28"/>
        </w:rPr>
        <w:t xml:space="preserve"> </w:t>
      </w:r>
      <w:r>
        <w:rPr>
          <w:color w:val="000000"/>
          <w:spacing w:val="-10"/>
          <w:sz w:val="28"/>
          <w:szCs w:val="28"/>
        </w:rPr>
        <w:t>безопасности труда</w:t>
      </w:r>
      <w:r>
        <w:rPr>
          <w:color w:val="000000"/>
          <w:spacing w:val="-8"/>
          <w:sz w:val="28"/>
          <w:szCs w:val="28"/>
        </w:rPr>
        <w:t>.</w:t>
      </w:r>
    </w:p>
    <w:p w:rsidR="00920386" w:rsidRPr="00760E19" w:rsidRDefault="00920386" w:rsidP="00920386">
      <w:pPr>
        <w:pStyle w:val="a6"/>
        <w:rPr>
          <w:sz w:val="28"/>
          <w:szCs w:val="28"/>
        </w:rPr>
      </w:pPr>
      <w:r>
        <w:rPr>
          <w:color w:val="000000"/>
          <w:spacing w:val="-10"/>
          <w:sz w:val="28"/>
          <w:szCs w:val="28"/>
        </w:rPr>
        <w:t xml:space="preserve">Заявленный </w:t>
      </w:r>
      <w:r w:rsidR="00A528E5">
        <w:rPr>
          <w:color w:val="000000"/>
          <w:spacing w:val="-10"/>
          <w:sz w:val="28"/>
          <w:szCs w:val="28"/>
        </w:rPr>
        <w:t>НПП «</w:t>
      </w:r>
      <w:proofErr w:type="spellStart"/>
      <w:r w:rsidR="00A528E5">
        <w:rPr>
          <w:color w:val="000000"/>
          <w:spacing w:val="-10"/>
          <w:sz w:val="28"/>
          <w:szCs w:val="28"/>
        </w:rPr>
        <w:t>Велд</w:t>
      </w:r>
      <w:proofErr w:type="spellEnd"/>
      <w:r w:rsidR="00A528E5">
        <w:rPr>
          <w:color w:val="000000"/>
          <w:spacing w:val="-10"/>
          <w:sz w:val="28"/>
          <w:szCs w:val="28"/>
        </w:rPr>
        <w:t>»</w:t>
      </w:r>
      <w:r>
        <w:rPr>
          <w:color w:val="000000"/>
          <w:spacing w:val="-10"/>
          <w:sz w:val="28"/>
          <w:szCs w:val="28"/>
        </w:rPr>
        <w:t xml:space="preserve"> к лицензированию вид деятельности «Разработка средств РЭБ» является экологически чистым, так как в своей технологической цепочке не содержит процессов, существенно влияющих на загрязнение окружающей среды, а также не приводит к накоплению токсичных отходов.</w:t>
      </w:r>
    </w:p>
    <w:bookmarkEnd w:id="2"/>
    <w:p w:rsidR="00920386" w:rsidRDefault="00920386" w:rsidP="00920386">
      <w:pPr>
        <w:shd w:val="clear" w:color="auto" w:fill="FFFFFF"/>
        <w:ind w:firstLine="567"/>
        <w:rPr>
          <w:rFonts w:cs="Times New Roman"/>
          <w:bCs/>
          <w:iCs/>
          <w:color w:val="000000"/>
          <w:szCs w:val="28"/>
        </w:rPr>
      </w:pPr>
    </w:p>
    <w:p w:rsidR="00AA0B35" w:rsidRDefault="00AA0B35"/>
    <w:sectPr w:rsidR="00AA0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73345"/>
    <w:multiLevelType w:val="hybridMultilevel"/>
    <w:tmpl w:val="1BE68968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A6F2494"/>
    <w:multiLevelType w:val="hybridMultilevel"/>
    <w:tmpl w:val="FEA8FA1E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EFC2DD9"/>
    <w:multiLevelType w:val="hybridMultilevel"/>
    <w:tmpl w:val="45A8CBBA"/>
    <w:lvl w:ilvl="0" w:tplc="A18AA5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9470662"/>
    <w:multiLevelType w:val="hybridMultilevel"/>
    <w:tmpl w:val="32CA00DA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43000C61"/>
    <w:multiLevelType w:val="hybridMultilevel"/>
    <w:tmpl w:val="4F689C1E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434418E"/>
    <w:multiLevelType w:val="multilevel"/>
    <w:tmpl w:val="C7185DE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541020C7"/>
    <w:multiLevelType w:val="hybridMultilevel"/>
    <w:tmpl w:val="469EAAA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661338C1"/>
    <w:multiLevelType w:val="hybridMultilevel"/>
    <w:tmpl w:val="1B887BD2"/>
    <w:lvl w:ilvl="0" w:tplc="A18AA5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b/>
        <w:i w:val="0"/>
        <w:color w:val="auto"/>
        <w:spacing w:val="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86"/>
    <w:rsid w:val="000A3638"/>
    <w:rsid w:val="000B6B78"/>
    <w:rsid w:val="000C5265"/>
    <w:rsid w:val="00121406"/>
    <w:rsid w:val="001240C5"/>
    <w:rsid w:val="0016054A"/>
    <w:rsid w:val="00165BC0"/>
    <w:rsid w:val="00194E17"/>
    <w:rsid w:val="001D5349"/>
    <w:rsid w:val="0021401C"/>
    <w:rsid w:val="00214099"/>
    <w:rsid w:val="00215ECD"/>
    <w:rsid w:val="002274E6"/>
    <w:rsid w:val="00274244"/>
    <w:rsid w:val="002B734E"/>
    <w:rsid w:val="002D7A14"/>
    <w:rsid w:val="00385B50"/>
    <w:rsid w:val="00397A82"/>
    <w:rsid w:val="003B15AB"/>
    <w:rsid w:val="003B69CC"/>
    <w:rsid w:val="003D259E"/>
    <w:rsid w:val="003D7BBD"/>
    <w:rsid w:val="003E0B30"/>
    <w:rsid w:val="003F2D14"/>
    <w:rsid w:val="00406B82"/>
    <w:rsid w:val="00411A96"/>
    <w:rsid w:val="00434F6D"/>
    <w:rsid w:val="004636FA"/>
    <w:rsid w:val="004738F3"/>
    <w:rsid w:val="004905F7"/>
    <w:rsid w:val="004D5D7C"/>
    <w:rsid w:val="004F766F"/>
    <w:rsid w:val="00507FD1"/>
    <w:rsid w:val="00511551"/>
    <w:rsid w:val="00522A3B"/>
    <w:rsid w:val="00556765"/>
    <w:rsid w:val="0055709D"/>
    <w:rsid w:val="00570E60"/>
    <w:rsid w:val="005724E0"/>
    <w:rsid w:val="0058321D"/>
    <w:rsid w:val="005B02FC"/>
    <w:rsid w:val="005F126E"/>
    <w:rsid w:val="00607656"/>
    <w:rsid w:val="00621B0B"/>
    <w:rsid w:val="00635BFE"/>
    <w:rsid w:val="006B5E18"/>
    <w:rsid w:val="0076238D"/>
    <w:rsid w:val="007925C4"/>
    <w:rsid w:val="0079297B"/>
    <w:rsid w:val="00795E3B"/>
    <w:rsid w:val="0088208B"/>
    <w:rsid w:val="008A59D3"/>
    <w:rsid w:val="009114C8"/>
    <w:rsid w:val="00920386"/>
    <w:rsid w:val="00950252"/>
    <w:rsid w:val="00984987"/>
    <w:rsid w:val="00A2432E"/>
    <w:rsid w:val="00A30FFC"/>
    <w:rsid w:val="00A528E5"/>
    <w:rsid w:val="00A81909"/>
    <w:rsid w:val="00AA0B35"/>
    <w:rsid w:val="00AF4AA8"/>
    <w:rsid w:val="00B41AA6"/>
    <w:rsid w:val="00B41DB9"/>
    <w:rsid w:val="00B54EF7"/>
    <w:rsid w:val="00B70991"/>
    <w:rsid w:val="00BB5525"/>
    <w:rsid w:val="00BB63D6"/>
    <w:rsid w:val="00BC52F0"/>
    <w:rsid w:val="00BD7A9C"/>
    <w:rsid w:val="00BE71BC"/>
    <w:rsid w:val="00C004E0"/>
    <w:rsid w:val="00C0175F"/>
    <w:rsid w:val="00C1655A"/>
    <w:rsid w:val="00C475E2"/>
    <w:rsid w:val="00CA20A0"/>
    <w:rsid w:val="00CA5D81"/>
    <w:rsid w:val="00CF7A3D"/>
    <w:rsid w:val="00D24615"/>
    <w:rsid w:val="00D922A1"/>
    <w:rsid w:val="00D9357E"/>
    <w:rsid w:val="00E13643"/>
    <w:rsid w:val="00E1434B"/>
    <w:rsid w:val="00E538AF"/>
    <w:rsid w:val="00E66AFA"/>
    <w:rsid w:val="00EC547F"/>
    <w:rsid w:val="00ED5AF7"/>
    <w:rsid w:val="00ED61A6"/>
    <w:rsid w:val="00EF5E0F"/>
    <w:rsid w:val="00F40DC6"/>
    <w:rsid w:val="00F517A0"/>
    <w:rsid w:val="00F73E51"/>
    <w:rsid w:val="00FA322D"/>
    <w:rsid w:val="00FA4404"/>
    <w:rsid w:val="00FD4F77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20386"/>
    <w:pPr>
      <w:keepNext/>
      <w:keepLines/>
      <w:spacing w:before="20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038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qFormat/>
    <w:rsid w:val="00920386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 Indent"/>
    <w:basedOn w:val="a"/>
    <w:link w:val="a5"/>
    <w:rsid w:val="0092038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203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92038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920386"/>
    <w:pPr>
      <w:spacing w:after="12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920386"/>
    <w:rPr>
      <w:rFonts w:ascii="Times New Roman" w:hAnsi="Times New Roman"/>
      <w:sz w:val="28"/>
    </w:rPr>
  </w:style>
  <w:style w:type="paragraph" w:customStyle="1" w:styleId="a9">
    <w:name w:val="Обычный диплом"/>
    <w:basedOn w:val="a"/>
    <w:rsid w:val="00920386"/>
    <w:pPr>
      <w:keepLines/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customStyle="1" w:styleId="14pt">
    <w:name w:val="Обычный + 14 pt"/>
    <w:basedOn w:val="a"/>
    <w:rsid w:val="00920386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92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03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920386"/>
    <w:pPr>
      <w:keepNext/>
      <w:keepLines/>
      <w:spacing w:before="200" w:after="0" w:line="360" w:lineRule="auto"/>
      <w:ind w:firstLine="851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0386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3">
    <w:name w:val="List Paragraph"/>
    <w:basedOn w:val="a"/>
    <w:qFormat/>
    <w:rsid w:val="00920386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  <w:style w:type="paragraph" w:styleId="a4">
    <w:name w:val="Body Text Indent"/>
    <w:basedOn w:val="a"/>
    <w:link w:val="a5"/>
    <w:rsid w:val="00920386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92038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920386"/>
    <w:pPr>
      <w:spacing w:after="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920386"/>
    <w:pPr>
      <w:spacing w:after="12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8">
    <w:name w:val="Основной текст Знак"/>
    <w:basedOn w:val="a0"/>
    <w:link w:val="a7"/>
    <w:uiPriority w:val="99"/>
    <w:semiHidden/>
    <w:rsid w:val="00920386"/>
    <w:rPr>
      <w:rFonts w:ascii="Times New Roman" w:hAnsi="Times New Roman"/>
      <w:sz w:val="28"/>
    </w:rPr>
  </w:style>
  <w:style w:type="paragraph" w:customStyle="1" w:styleId="a9">
    <w:name w:val="Обычный диплом"/>
    <w:basedOn w:val="a"/>
    <w:rsid w:val="00920386"/>
    <w:pPr>
      <w:keepLines/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8"/>
      <w:szCs w:val="20"/>
      <w:lang w:eastAsia="ar-SA"/>
    </w:rPr>
  </w:style>
  <w:style w:type="paragraph" w:customStyle="1" w:styleId="14pt">
    <w:name w:val="Обычный + 14 pt"/>
    <w:basedOn w:val="a"/>
    <w:rsid w:val="00920386"/>
    <w:pPr>
      <w:suppressAutoHyphens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aa">
    <w:name w:val="Balloon Text"/>
    <w:basedOn w:val="a"/>
    <w:link w:val="ab"/>
    <w:uiPriority w:val="99"/>
    <w:semiHidden/>
    <w:unhideWhenUsed/>
    <w:rsid w:val="00920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03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jpeg"/><Relationship Id="rId26" Type="http://schemas.openxmlformats.org/officeDocument/2006/relationships/oleObject" Target="embeddings/oleObject10.bin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3960</Words>
  <Characters>22577</Characters>
  <Application>Microsoft Office Word</Application>
  <DocSecurity>0</DocSecurity>
  <Lines>188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milssky</dc:creator>
  <cp:lastModifiedBy>milssky</cp:lastModifiedBy>
  <cp:revision>9</cp:revision>
  <dcterms:created xsi:type="dcterms:W3CDTF">2013-03-31T15:29:00Z</dcterms:created>
  <dcterms:modified xsi:type="dcterms:W3CDTF">2013-06-02T16:57:00Z</dcterms:modified>
</cp:coreProperties>
</file>