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DEFESA DO TCC | MAPA DE LEMBRANÇAS</w:t>
      </w:r>
    </w:p>
    <w:p>
      <w:pPr>
        <w:pStyle w:val="Subtitle"/>
      </w:pPr>
      <w:r>
        <w:t xml:space="preserve">12 slides principais + 1 reserva • referência de 10 minutos</w:t>
      </w:r>
    </w:p>
    <w:p>
      <w:pPr>
        <w:pStyle w:val="Small"/>
      </w:pPr>
      <w:r>
        <w:t xml:space="preserve">Numeração pela posição no PowerPoint Defesa_TCC_evidencias_integradas.pptx. Consulta rápida: problema → decisão → evidência. Sem falas para decorar.</w:t>
      </w:r>
    </w:p>
    <w:p>
      <w:pPr>
        <w:pStyle w:val="Heading2"/>
      </w:pPr>
      <w:r>
        <w:t xml:space="preserve">01 | Abertura • 20 s</w:t>
      </w:r>
    </w:p>
    <w:p>
      <w:pPr>
        <w:pStyle w:val="Normal"/>
      </w:pPr>
      <w:r>
        <w:rPr>
          <w:b/>
        </w:rPr>
        <w:t xml:space="preserve">IDEIA CENTRAL  </w:t>
      </w:r>
      <w:r>
        <w:t xml:space="preserve">Fontes heterogêneas do INEP → informações comparáveis e verificáveis → análise no Power BI.</w:t>
      </w:r>
    </w:p>
    <w:p>
      <w:pPr>
        <w:pStyle w:val="Normal"/>
      </w:pPr>
      <w:r>
        <w:rPr>
          <w:b/>
        </w:rPr>
        <w:t xml:space="preserve">PROBLEMA RESOLVIDO  </w:t>
      </w:r>
      <w:r>
        <w:t xml:space="preserve">Dados públicos disponíveis; preparação histórica, integração e verificação ainda exigiam trabalho técnico.</w:t>
      </w:r>
    </w:p>
    <w:p>
      <w:pPr>
        <w:pStyle w:val="Heading2"/>
      </w:pPr>
      <w:r>
        <w:t xml:space="preserve">02 | Problema e motivação • 40 s</w:t>
      </w:r>
    </w:p>
    <w:p>
      <w:pPr>
        <w:pStyle w:val="Normal"/>
      </w:pPr>
      <w:r>
        <w:rPr>
          <w:b/>
        </w:rPr>
        <w:t xml:space="preserve">LEMBRAR DOS ARQUIVOS  </w:t>
      </w:r>
      <w:r>
        <w:t xml:space="preserve">XLS, XLSX, XLSB, CSV e TXT; posições de cabeçalho diferentes; rede como texto ou código; escola e UF.</w:t>
      </w:r>
    </w:p>
    <w:p>
      <w:pPr>
        <w:pStyle w:val="Normal"/>
      </w:pPr>
      <w:r>
        <w:rPr>
          <w:b/>
        </w:rPr>
        <w:t xml:space="preserve">RISCO  </w:t>
      </w:r>
      <w:r>
        <w:t xml:space="preserve">Comparação automática sem auditoria poderia misturar populações, territórios e etapas. Mesmo indicador ≠ mesma estrutura em todos os anos.</w:t>
      </w:r>
    </w:p>
    <w:p>
      <w:pPr>
        <w:pStyle w:val="Normal"/>
      </w:pPr>
      <w:r>
        <w:rPr>
          <w:b/>
        </w:rPr>
        <w:t xml:space="preserve">DECISÃO  </w:t>
      </w:r>
      <w:r>
        <w:t xml:space="preserve">Auditoria → regras específicas por indicador/edição → recorte comum → origem preservada.</w:t>
      </w:r>
    </w:p>
    <w:p>
      <w:pPr>
        <w:pStyle w:val="Heading2"/>
      </w:pPr>
      <w:r>
        <w:t xml:space="preserve">03 | Objetivo e recorte • 40 s</w:t>
      </w:r>
    </w:p>
    <w:p>
      <w:pPr>
        <w:pStyle w:val="Normal"/>
      </w:pPr>
      <w:r>
        <w:rPr>
          <w:b/>
        </w:rPr>
        <w:t xml:space="preserve">RECORTE COMUM  </w:t>
      </w:r>
      <w:r>
        <w:t xml:space="preserve">2007–2023 | 27 UFs | rede pública | Anos Iniciais e Finais. Ensino Médio fora; escolas fora da análise histórica final.</w:t>
      </w:r>
    </w:p>
    <w:p>
      <w:pPr>
        <w:pStyle w:val="Normal"/>
      </w:pPr>
      <w:r>
        <w:rPr>
          <w:b/>
        </w:rPr>
        <w:t xml:space="preserve">POR QUE UF?  </w:t>
      </w:r>
      <w:r>
        <w:t xml:space="preserve">Unidade comum para integrar as quatro séries. Resultado estadual não descreve uma escola ou município específico.</w:t>
      </w:r>
    </w:p>
    <w:p>
      <w:pPr>
        <w:pStyle w:val="Normal"/>
      </w:pPr>
      <w:r>
        <w:rPr>
          <w:b/>
        </w:rPr>
        <w:t xml:space="preserve">PERIODICIDADE  </w:t>
      </w:r>
      <w:r>
        <w:t xml:space="preserve">IDEB/SAEB: bienais. Rendimento/TDI: anuais. PND 2025: análise complementar, sem trajetória temporal.</w:t>
      </w:r>
    </w:p>
    <w:p>
      <w:pPr>
        <w:pStyle w:val="Heading2"/>
      </w:pPr>
      <w:r>
        <w:t xml:space="preserve">04 | Fontes oficiais • 30 s</w:t>
      </w:r>
    </w:p>
    <w:p>
      <w:pPr>
        <w:pStyle w:val="Normal"/>
      </w:pPr>
      <w:r>
        <w:rPr>
          <w:b/>
        </w:rPr>
        <w:t xml:space="preserve">FUNÇÃO DE CADA BASE  </w:t>
      </w:r>
      <w:r>
        <w:t xml:space="preserve">IDEB: desenvolvimento educacional; SAEB: proficiência; Rendimento: aprovação/reprovação/abandono; TDI: atraso idade-série; PND: desempenho na prova docente.</w:t>
      </w:r>
    </w:p>
    <w:p>
      <w:pPr>
        <w:pStyle w:val="Normal"/>
      </w:pPr>
      <w:r>
        <w:rPr>
          <w:b/>
        </w:rPr>
        <w:t xml:space="preserve">DECISÃO COMUM  </w:t>
      </w:r>
      <w:r>
        <w:t xml:space="preserve">Priorizar agregados oficiais. Não criar rede pública pela média das redes federal, estadual e municipal.</w:t>
      </w:r>
    </w:p>
    <w:p>
      <w:pPr>
        <w:pStyle w:val="Small"/>
      </w:pPr>
      <w:r>
        <w:t xml:space="preserve">Tempo acumulado de referência: 2 min 10 s. Próxima folha: problemas concretos do processamento.</w:t>
      </w:r>
    </w:p>
    <w:p>
      <w:pPr>
        <w:pStyle w:val="PageTitle"/>
      </w:pPr>
      <w:r>
        <w:t xml:space="preserve">PROCESSO | PROBLEMAS, TESTES E DECISÕES</w:t>
      </w:r>
    </w:p>
    <w:p>
      <w:pPr>
        <w:pStyle w:val="Heading2"/>
      </w:pPr>
      <w:r>
        <w:t xml:space="preserve">05 | Arquitetura do pipeline • 55 s</w:t>
      </w:r>
    </w:p>
    <w:p>
      <w:pPr>
        <w:pStyle w:val="Normal"/>
      </w:pPr>
      <w:r>
        <w:rPr>
          <w:b/>
        </w:rPr>
        <w:t xml:space="preserve">AQUISIÇÃO  </w:t>
      </w:r>
      <w:r>
        <w:t xml:space="preserve">Busca, seleção, extração e nomes dos arquivos → automatizados para os 54 insumos da versão.</w:t>
      </w:r>
    </w:p>
    <w:p>
      <w:pPr>
        <w:pStyle w:val="Normal"/>
      </w:pPr>
      <w:r>
        <w:rPr>
          <w:b/>
        </w:rPr>
        <w:t xml:space="preserve">CAMADAS  </w:t>
      </w:r>
      <w:r>
        <w:t xml:space="preserve">Raw: insumos; Bronze: leitura e metadados; Silver: recortes/harmonização; Gold: fatos e dimensões. Power BI consome somente Gold.</w:t>
      </w:r>
    </w:p>
    <w:p>
      <w:pPr>
        <w:pStyle w:val="Normal"/>
      </w:pPr>
      <w:r>
        <w:rPr>
          <w:b/>
        </w:rPr>
        <w:t xml:space="preserve">RASTREABILIDADE  </w:t>
      </w:r>
      <w:r>
        <w:t xml:space="preserve">Arquivo, hash, aba, linha e coluna, conforme a camada/fonte. Hash identifica o arquivo; validação confere regras implementadas.</w:t>
      </w:r>
    </w:p>
    <w:p>
      <w:pPr>
        <w:pStyle w:val="Normal"/>
      </w:pPr>
      <w:r>
        <w:rPr>
          <w:b/>
        </w:rPr>
        <w:t xml:space="preserve">ATUALIZAÇÕES  </w:t>
      </w:r>
      <w:r>
        <w:t xml:space="preserve">Hash mudou + referência validada + histórico protegido igual → registrar atualização. Histórico diferente/sem referência → interromper e explicar.</w:t>
      </w:r>
    </w:p>
    <w:p>
      <w:pPr>
        <w:pStyle w:val="Heading2"/>
      </w:pPr>
      <w:r>
        <w:t xml:space="preserve">06 | Evidência: mudança de coluna • 55 s</w:t>
      </w:r>
    </w:p>
    <w:p>
      <w:pPr>
        <w:pStyle w:val="Normal"/>
      </w:pPr>
      <w:r>
        <w:rPr>
          <w:b/>
        </w:rPr>
        <w:t xml:space="preserve">OLHAR PARA A TABELA  </w:t>
      </w:r>
      <w:r>
        <w:t xml:space="preserve">Mesma taxa: aprovação AI de MG. col_015 em 2007 → col_014 em 2008 → col_006 em 2011 → col_007 em 2016.</w:t>
      </w:r>
    </w:p>
    <w:p>
      <w:pPr>
        <w:pStyle w:val="Normal"/>
      </w:pPr>
      <w:r>
        <w:rPr>
          <w:b/>
        </w:rPr>
        <w:t xml:space="preserve">DECISÃO  </w:t>
      </w:r>
      <w:r>
        <w:t xml:space="preserve">Mapeamentos por edição. MG/Minas Gerais e Publico/Pública normalizados. col_NNN é nome posicional da Bronze, não título original da planilha.</w:t>
      </w:r>
    </w:p>
    <w:p>
      <w:pPr>
        <w:pStyle w:val="Heading2"/>
      </w:pPr>
      <w:r>
        <w:t xml:space="preserve">07 | Evidência: SAEB 2023 • 70 s</w:t>
      </w:r>
    </w:p>
    <w:p>
      <w:pPr>
        <w:pStyle w:val="Normal"/>
      </w:pPr>
      <w:r>
        <w:rPr>
          <w:b/>
        </w:rPr>
        <w:t xml:space="preserve">TESTE QUE MUDOU A FONTE  </w:t>
      </w:r>
      <w:r>
        <w:t xml:space="preserve">Dificuldade de localizar agregados UF → fontes escolares provisórias → restou 2023. Ponderação por presentes: 0/108 coincidências a duas casas. MG/LP/AI: 213,98 calculado × 213,23 oficial.</w:t>
      </w:r>
    </w:p>
    <w:p>
      <w:pPr>
        <w:pStyle w:val="Normal"/>
      </w:pPr>
      <w:r>
        <w:rPr>
          <w:b/>
        </w:rPr>
        <w:t xml:space="preserve">DECISÃO  </w:t>
      </w:r>
      <w:r>
        <w:t xml:space="preserve">Preservar agregado oficial por UF. Fonte escolar continua para auditoria. Número de presentes não reproduziu os pesos oficiais; não significa erro nos dados escolares.</w:t>
      </w:r>
    </w:p>
    <w:p>
      <w:pPr>
        <w:pStyle w:val="Heading2"/>
      </w:pPr>
      <w:r>
        <w:t xml:space="preserve">08 | Outras exceções e qualidade • 40 s</w:t>
      </w:r>
    </w:p>
    <w:p>
      <w:pPr>
        <w:pStyle w:val="Normal"/>
      </w:pPr>
      <w:r>
        <w:rPr>
          <w:b/>
        </w:rPr>
        <w:t xml:space="preserve">EDIÇÕES  </w:t>
      </w:r>
      <w:r>
        <w:t xml:space="preserve">2007/09: Estadual + Municipal; 2011: ID_TIPO_REDE=5; 2013/15: cabeçalhos multinível; 2015: zero como ausência pela fonte, sem ocorrência no recorte final.</w:t>
      </w:r>
    </w:p>
    <w:p>
      <w:pPr>
        <w:pStyle w:val="Normal"/>
      </w:pPr>
      <w:r>
        <w:rPr>
          <w:b/>
        </w:rPr>
        <w:t xml:space="preserve">CONTROLES  </w:t>
      </w:r>
      <w:r>
        <w:t xml:space="preserve">Esquema, domínios, cobertura, unicidade no grão, chaves, relações e retorno à origem. Gold: MODELO DIMENSIONAL GOLD: OK.</w:t>
      </w:r>
    </w:p>
    <w:p>
      <w:pPr>
        <w:pStyle w:val="Small"/>
      </w:pPr>
      <w:r>
        <w:t xml:space="preserve">Tempo acumulado: 5 min 50 s. Priorizar o raciocínio do SAEB; os demais exemplos apoiam a harmonização por edição.</w:t>
      </w:r>
    </w:p>
    <w:p>
      <w:pPr>
        <w:pStyle w:val="PageTitle"/>
      </w:pPr>
      <w:r>
        <w:t xml:space="preserve">MODELO E RESULTADOS | COMO INTERPRETAR</w:t>
      </w:r>
    </w:p>
    <w:p>
      <w:pPr>
        <w:pStyle w:val="Heading2"/>
      </w:pPr>
      <w:r>
        <w:t xml:space="preserve">09 | Modelo dimensional e médias • 55 s</w:t>
      </w:r>
    </w:p>
    <w:p>
      <w:pPr>
        <w:pStyle w:val="Normal"/>
      </w:pPr>
      <w:r>
        <w:rPr>
          <w:b/>
        </w:rPr>
        <w:t xml:space="preserve">MODELO  </w:t>
      </w:r>
      <w:r>
        <w:t xml:space="preserve">5 fatos + 5 dimensões; 27 medidas DAX no projeto. Relações 1:N; filtro dimensão → fato. Cada fato tem seu grão definido.</w:t>
      </w:r>
    </w:p>
    <w:p>
      <w:pPr>
        <w:pStyle w:val="Normal"/>
      </w:pPr>
      <w:r>
        <w:rPr>
          <w:b/>
        </w:rPr>
        <w:t xml:space="preserve">DUAS ETAPAS  </w:t>
      </w:r>
      <w:r>
        <w:t xml:space="preserve">Preparação: preservar resultados oficiais por UF. Visualização: AVERAGE das linhas existentes no contexto de filtro.</w:t>
      </w:r>
    </w:p>
    <w:p>
      <w:pPr>
        <w:pStyle w:val="Normal"/>
      </w:pPr>
      <w:r>
        <w:rPr>
          <w:b/>
        </w:rPr>
        <w:t xml:space="preserve">PESO IGUAL  </w:t>
      </w:r>
      <w:r>
        <w:t xml:space="preserve">Um ano + etapa + disciplina: cada registro de UF tem igual peso na média. Se selecionar mais anos/etapas, esses registros também entram.</w:t>
      </w:r>
    </w:p>
    <w:p>
      <w:pPr>
        <w:pStyle w:val="Normal"/>
      </w:pPr>
      <w:r>
        <w:rPr>
          <w:b/>
        </w:rPr>
        <w:t xml:space="preserve">EXEMPLO PARA LEMBRAR  </w:t>
      </w:r>
      <w:r>
        <w:t xml:space="preserve">UF A: 200 pontos/1.000 participantes; B: 300/9.000. Simples=250; por participantes=290. Exemplo didático; não reconstrói a metodologia oficial do SAEB.</w:t>
      </w:r>
    </w:p>
    <w:p>
      <w:pPr>
        <w:pStyle w:val="Heading2"/>
      </w:pPr>
      <w:r>
        <w:t xml:space="preserve">10 | Resultados: distorção idade-série • 55 s</w:t>
      </w:r>
    </w:p>
    <w:p>
      <w:pPr>
        <w:pStyle w:val="Normal"/>
      </w:pPr>
      <w:r>
        <w:rPr>
          <w:b/>
        </w:rPr>
        <w:t xml:space="preserve">VISUAL REAL  </w:t>
      </w:r>
      <w:r>
        <w:t xml:space="preserve">Página TDI: quatro olhares — evolução anual, diferenças entre UFs, etapas e variação por UF.</w:t>
      </w:r>
    </w:p>
    <w:p>
      <w:pPr>
        <w:pStyle w:val="Normal"/>
      </w:pPr>
      <w:r>
        <w:rPr>
          <w:b/>
        </w:rPr>
        <w:t xml:space="preserve">ÂNCORAS  </w:t>
      </w:r>
      <w:r>
        <w:t xml:space="preserve">TDI média 24,9%; variação −18,3 pontos percentuais no recorte exibido. Anos Finais 32,3% × Iniciais 17,5% no print.</w:t>
      </w:r>
    </w:p>
    <w:p>
      <w:pPr>
        <w:pStyle w:val="Normal"/>
      </w:pPr>
      <w:r>
        <w:rPr>
          <w:b/>
        </w:rPr>
        <w:t xml:space="preserve">VARIAÇÃO  </w:t>
      </w:r>
      <w:r>
        <w:t xml:space="preserve">Último menos primeiro ano com dado dentro do filtro. Pontos percentuais para taxas; não redução percentual relativa.</w:t>
      </w:r>
    </w:p>
    <w:p>
      <w:pPr>
        <w:pStyle w:val="Normal"/>
      </w:pPr>
      <w:r>
        <w:rPr>
          <w:b/>
        </w:rPr>
        <w:t xml:space="preserve">LIMITE  </w:t>
      </w:r>
      <w:r>
        <w:t xml:space="preserve">Diferenças territoriais e trajetórias observadas. Visualização não identifica causas; números dependem dos filtros.</w:t>
      </w:r>
    </w:p>
    <w:p>
      <w:pPr>
        <w:pStyle w:val="Heading2"/>
      </w:pPr>
      <w:r>
        <w:t xml:space="preserve">11 | PND 2025 • 55 s</w:t>
      </w:r>
    </w:p>
    <w:p>
      <w:pPr>
        <w:pStyle w:val="Normal"/>
      </w:pPr>
      <w:r>
        <w:rPr>
          <w:b/>
        </w:rPr>
        <w:t xml:space="preserve">POPULAÇÃO  </w:t>
      </w:r>
      <w:r>
        <w:t xml:space="preserve">1.087.359 registros de origem → TP_PRES=555 e cinco resultados completos → 759.140 registros analíticos. Unidade individual, separada das séries históricas.</w:t>
      </w:r>
    </w:p>
    <w:p>
      <w:pPr>
        <w:pStyle w:val="Normal"/>
      </w:pPr>
      <w:r>
        <w:rPr>
          <w:b/>
        </w:rPr>
        <w:t xml:space="preserve">ÂNCORAS  </w:t>
      </w:r>
      <w:r>
        <w:t xml:space="preserve">64,97% classificados como proficientes; nota objetiva média 57,5. Localidade: aplicação da prova, não residência.</w:t>
      </w:r>
    </w:p>
    <w:p>
      <w:pPr>
        <w:pStyle w:val="Normal"/>
      </w:pPr>
      <w:r>
        <w:rPr>
          <w:b/>
        </w:rPr>
        <w:t xml:space="preserve">CLASSIFICAÇÃO  </w:t>
      </w:r>
      <w:r>
        <w:t xml:space="preserve">Nota objetiva &lt;50: não proficiente; 50 a &lt;70: padrão 1; ≥70: padrão 2. Proficientes = padrões 1 + 2. Não equivale a aprovação.</w:t>
      </w:r>
    </w:p>
    <w:p>
      <w:pPr>
        <w:pStyle w:val="Normal"/>
      </w:pPr>
      <w:r>
        <w:rPr>
          <w:b/>
        </w:rPr>
        <w:t xml:space="preserve">SE PERGUNTAREM  </w:t>
      </w:r>
      <w:r>
        <w:t xml:space="preserve">Notas negativas oficiais preservadas; linha de origem é identificador técnico, não identidade pessoal; 50 pontos não significa 50% de acertos.</w:t>
      </w:r>
    </w:p>
    <w:p>
      <w:pPr>
        <w:pStyle w:val="Small"/>
      </w:pPr>
      <w:r>
        <w:t xml:space="preserve">Tempo acumulado: 8 min 35 s. A apresentação concentra o exemplo visual dos resultados históricos na TDI.</w:t>
      </w:r>
    </w:p>
    <w:p>
      <w:pPr>
        <w:pStyle w:val="PageTitle"/>
      </w:pPr>
      <w:r>
        <w:t xml:space="preserve">ENCERRAMENTO E RESERVA | LEMBRETES DA BANCA</w:t>
      </w:r>
    </w:p>
    <w:p>
      <w:pPr>
        <w:pStyle w:val="Heading2"/>
      </w:pPr>
      <w:r>
        <w:t xml:space="preserve">12 | Limitações e contribuições • 60 s</w:t>
      </w:r>
    </w:p>
    <w:p>
      <w:pPr>
        <w:pStyle w:val="Normal"/>
      </w:pPr>
      <w:r>
        <w:rPr>
          <w:b/>
        </w:rPr>
        <w:t xml:space="preserve">UF ≠ ESCOLA  </w:t>
      </w:r>
      <w:r>
        <w:t xml:space="preserve">Média estadual não pode ser atribuída a cada escola ou município. Recorte comum facilita comparação, sem eliminar particularidades históricas.</w:t>
      </w:r>
    </w:p>
    <w:p>
      <w:pPr>
        <w:pStyle w:val="Normal"/>
      </w:pPr>
      <w:r>
        <w:rPr>
          <w:b/>
        </w:rPr>
        <w:t xml:space="preserve">COMPARABILIDADE  </w:t>
      </w:r>
      <w:r>
        <w:t xml:space="preserve">SAEB 2007/09 tem composição de rede distinta. Fontes mudam metodologia/layout. Indicadores anuais e bienais não têm as mesmas observações temporais.</w:t>
      </w:r>
    </w:p>
    <w:p>
      <w:pPr>
        <w:pStyle w:val="Normal"/>
      </w:pPr>
      <w:r>
        <w:rPr>
          <w:b/>
        </w:rPr>
        <w:t xml:space="preserve">INTERPRETAÇÃO  </w:t>
      </w:r>
      <w:r>
        <w:t xml:space="preserve">Cartões resumem registros filtrados; não são médias nacionais oficiais ponderadas. Associação visual não prova causalidade; IDEB já incorpora componente de fluxo.</w:t>
      </w:r>
    </w:p>
    <w:p>
      <w:pPr>
        <w:pStyle w:val="Normal"/>
      </w:pPr>
      <w:r>
        <w:rPr>
          <w:b/>
        </w:rPr>
        <w:t xml:space="preserve">CONTRIBUIÇÃO  </w:t>
      </w:r>
      <w:r>
        <w:t xml:space="preserve">Aquisição automatizada, regras por edição, agregados oficiais preservados, origem rastreável, validações e Gold dimensional. Sete páginas de BI: seis analíticas + metodologia.</w:t>
      </w:r>
    </w:p>
    <w:p>
      <w:pPr>
        <w:pStyle w:val="Normal"/>
      </w:pPr>
      <w:r>
        <w:rPr>
          <w:b/>
        </w:rPr>
        <w:t xml:space="preserve">ALCANCE DOS TESTES  </w:t>
      </w:r>
      <w:r>
        <w:t xml:space="preserve">Controles implementados aprovados. Fonte oficial e hash não provam ausência de todo erro nos dados originais.</w:t>
      </w:r>
    </w:p>
    <w:p>
      <w:pPr>
        <w:pStyle w:val="Small"/>
      </w:pPr>
      <w:r>
        <w:t xml:space="preserve">Tempo principal: 9 min 35 s, com 25 s de margem para pausas/trocas. Evitar ler todas as linhas dos prints ou detalhar cada exceção.</w:t>
      </w:r>
    </w:p>
    <w:p>
      <w:pPr>
        <w:pStyle w:val="Heading2"/>
      </w:pPr>
      <w:r>
        <w:t xml:space="preserve">13 | Reserva: formato amplo → longo</w:t>
      </w:r>
    </w:p>
    <w:p>
      <w:pPr>
        <w:pStyle w:val="Normal"/>
      </w:pPr>
      <w:r>
        <w:rPr>
          <w:b/>
        </w:rPr>
        <w:t xml:space="preserve">USO  </w:t>
      </w:r>
      <w:r>
        <w:t xml:space="preserve">Após a conclusão; apoio para perguntas sobre transformação. Não integra o tempo principal. Pode ser omitido durante a exposição.</w:t>
      </w:r>
    </w:p>
    <w:p>
      <w:pPr>
        <w:pStyle w:val="Normal"/>
      </w:pPr>
      <w:r>
        <w:rPr>
          <w:b/>
        </w:rPr>
        <w:t xml:space="preserve">ANTES → DEPOIS  </w:t>
      </w:r>
      <w:r>
        <w:t xml:space="preserve">Rendimento MG/2007, linha de origem 299: seis valores em colunas → seis observações Silver, duas etapas × três indicadores.</w:t>
      </w:r>
    </w:p>
    <w:p>
      <w:pPr>
        <w:pStyle w:val="Normal"/>
      </w:pPr>
      <w:r>
        <w:rPr>
          <w:b/>
        </w:rPr>
        <w:t xml:space="preserve">O QUE DEMONSTRA  </w:t>
      </w:r>
      <w:r>
        <w:t xml:space="preserve">Valores e origem preservados; uma linha física pode gerar várias observações analíticas. Aumento de linhas não é automaticamente duplicação.</w:t>
      </w:r>
    </w:p>
    <w:p>
      <w:pPr>
        <w:pStyle w:val="Heading3"/>
      </w:pPr>
      <w:r>
        <w:t xml:space="preserve">Mapa de recordação</w:t>
      </w:r>
    </w:p>
    <w:p>
      <w:pPr>
        <w:pStyle w:val="Normal"/>
      </w:pPr>
      <w:r>
        <w:rPr>
          <w:b/>
        </w:rPr>
        <w:t xml:space="preserve">NÚMEROS-CHAVE  </w:t>
      </w:r>
      <w:r>
        <w:t xml:space="preserve">54 insumos | 27 UFs | 5 fatos + 5 dimensões | 27 medidas | SAEB: 0/108 | PND: 759.140.</w:t>
      </w:r>
    </w:p>
    <w:p>
      <w:pPr>
        <w:pStyle w:val="Normal"/>
      </w:pPr>
      <w:r>
        <w:rPr>
          <w:b/>
        </w:rPr>
        <w:t xml:space="preserve">PROBLEMA → DECISÃO  </w:t>
      </w:r>
      <w:r>
        <w:t xml:space="preserve">Layouts mudaram → mapear por edição. Redes distintas → selecionar agregado adequado. Escolas não reproduziram UF → preservar oficial. Fontes dispersas → pipeline rastreável.</w:t>
      </w:r>
    </w:p>
    <w:p>
      <w:pPr>
        <w:pStyle w:val="Small"/>
      </w:pPr>
      <w:r>
        <w:t xml:space="preserve">Revisado em 29/10/2026 contra os 13 slides de Defesa_TCC_evidencias_integradas.pptx, evidências locais, TCC, auditorias e medidas DAX. Sem falas sugeridas.</w:t>
      </w:r>
    </w:p>
    <w:sectPr>
      <w:pgSz w:w="12240" w:h="15840"/>
      <w:pgMar w:top="1000" w:right="1123" w:bottom="1000" w:left="1123" w:header="708" w:footer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pt-BR"/>
      </w:rPr>
    </w:rPrDefault>
  </w:docDefaults>
  <w:style w:type="paragraph" w:default="1" w:styleId="Normal">
    <w:name w:val="Normal"/>
    <w:pPr>
      <w:spacing w:before="0" w:after="120" w:line="300" w:lineRule="auto"/>
      <w:widowControl/>
    </w:pPr>
    <w:rPr>
      <w:color w:val="202020"/>
      <w:sz w:val="22"/>
    </w:rPr>
  </w:style>
  <w:style w:type="paragraph" w:styleId="Title">
    <w:name w:val="Title"/>
    <w:basedOn w:val="Normal"/>
    <w:pPr>
      <w:keepNext/>
      <w:spacing w:before="0" w:after="100"/>
    </w:pPr>
    <w:rPr>
      <w:b/>
      <w:sz w:val="34"/>
      <w:color w:val="17365D"/>
    </w:rPr>
  </w:style>
  <w:style w:type="paragraph" w:styleId="Subtitle">
    <w:name w:val="Subtitle"/>
    <w:basedOn w:val="Normal"/>
    <w:pPr>
      <w:keepNext/>
    </w:pPr>
    <w:rPr>
      <w:sz w:val="22"/>
      <w:color w:val="555555"/>
    </w:rPr>
  </w:style>
  <w:style w:type="paragraph" w:styleId="PageTitle">
    <w:name w:val="Page title"/>
    <w:basedOn w:val="Title"/>
    <w:pPr>
      <w:pageBreakBefore/>
      <w:keepNext/>
    </w:pPr>
  </w:style>
  <w:style w:type="paragraph" w:styleId="Heading1">
    <w:name w:val="heading 1"/>
    <w:basedOn w:val="Normal"/>
    <w:pPr>
      <w:keepNext/>
      <w:outlineLvl w:val="0"/>
      <w:spacing w:before="360" w:after="200"/>
    </w:pPr>
    <w:rPr>
      <w:b/>
      <w:sz w:val="32"/>
      <w:color w:val="2E74B5"/>
    </w:rPr>
  </w:style>
  <w:style w:type="paragraph" w:styleId="Heading2">
    <w:name w:val="heading 2"/>
    <w:basedOn w:val="Normal"/>
    <w:pPr>
      <w:keepNext/>
      <w:outlineLvl w:val="1"/>
      <w:spacing w:before="280" w:after="140"/>
    </w:pPr>
    <w:rPr>
      <w:b/>
      <w:sz w:val="26"/>
      <w:color w:val="2E74B5"/>
    </w:rPr>
  </w:style>
  <w:style w:type="paragraph" w:styleId="Heading3">
    <w:name w:val="heading 3"/>
    <w:basedOn w:val="Normal"/>
    <w:pPr>
      <w:keepNext/>
      <w:outlineLvl w:val="2"/>
      <w:spacing w:before="200" w:after="100"/>
    </w:pPr>
    <w:rPr>
      <w:b/>
      <w:sz w:val="24"/>
      <w:color w:val="1F4D78"/>
    </w:rPr>
  </w:style>
  <w:style w:type="paragraph" w:styleId="Small">
    <w:name w:val="Small reference"/>
    <w:basedOn w:val="Normal"/>
    <w:pPr>
      <w:spacing w:before="0" w:after="100" w:line="260" w:lineRule="auto"/>
    </w:pPr>
    <w:rPr>
      <w:sz w:val="19"/>
      <w:color w:val="55555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