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0E7C7B"/>
          <w:sz w:val="22"/>
          <w:szCs w:val="22"/>
        </w:rPr>
        <w:t xml:space="preserve">PROPUESTA TÉCNICA Y DE SERVICIOS</w:t>
      </w:r>
    </w:p>
    <w:p>
      <w:pPr>
        <w:spacing w:after="200"/>
      </w:pPr>
      <w:r>
        <w:rPr>
          <w:b/>
          <w:bCs/>
          <w:color w:val="1B3A5C"/>
          <w:sz w:val="44"/>
          <w:szCs w:val="44"/>
        </w:rPr>
        <w:t xml:space="preserve">Asistente Dental Digital Inteligente</w:t>
      </w:r>
    </w:p>
    <w:p>
      <w:pPr>
        <w:spacing w:after="500"/>
      </w:pPr>
      <w:r>
        <w:rPr>
          <w:i/>
          <w:iCs/>
          <w:color w:val="222222"/>
          <w:sz w:val="24"/>
          <w:szCs w:val="24"/>
        </w:rPr>
        <w:t xml:space="preserve">Solución híbrida de gestión clínica odontológica: operación independiente e integración vía API con SinetSur (Servicio de Salud Concepción), para el sistema de salud público y privado en Chile</w:t>
      </w:r>
    </w:p>
    <w:p>
      <w:pPr>
        <w:spacing w:after="60"/>
      </w:pPr>
      <w:r>
        <w:rPr>
          <w:b/>
          <w:bCs/>
          <w:sz w:val="21"/>
          <w:szCs w:val="21"/>
        </w:rPr>
        <w:t xml:space="preserve">Presentado por: Milton Fabián Cartes Riquelme</w:t>
      </w:r>
    </w:p>
    <w:p>
      <w:pPr>
        <w:spacing w:after="60"/>
      </w:pPr>
      <w:r>
        <w:rPr>
          <w:sz w:val="21"/>
          <w:szCs w:val="21"/>
        </w:rPr>
        <w:t xml:space="preserve">Ingeniero de Ejecución en Computación e Informática — Consultor en Adopción Tecnológica</w:t>
      </w:r>
    </w:p>
    <w:p>
      <w:pPr>
        <w:spacing w:after="60"/>
      </w:pPr>
      <w:r>
        <w:rPr>
          <w:sz w:val="21"/>
          <w:szCs w:val="21"/>
        </w:rPr>
        <w:t xml:space="preserve">Tomé, Región del Biobío, Chile</w:t>
      </w:r>
    </w:p>
    <w:p>
      <w:pPr>
        <w:spacing w:after="600"/>
      </w:pPr>
      <w:r>
        <w:rPr>
          <w:sz w:val="21"/>
          <w:szCs w:val="21"/>
        </w:rPr>
        <w:t xml:space="preserve">Septiembre de 2026</w:t>
      </w:r>
    </w:p>
    <w:p>
      <w:r>
        <w:br/>
        <w:t xml:space="preserve"/>
      </w:r>
    </w:p>
    <w:p>
      <w:pPr>
        <w:pStyle w:val="Heading1"/>
        <w:pBdr>
          <w:bottom w:val="single" w:color="1B3A5C" w:sz="6" w:space="4"/>
        </w:pBdr>
        <w:spacing w:after="200" w:before="400"/>
      </w:pPr>
      <w:r>
        <w:rPr>
          <w:b/>
          <w:bCs/>
          <w:color w:val="1B3A5C"/>
          <w:sz w:val="30"/>
          <w:szCs w:val="30"/>
        </w:rPr>
        <w:t xml:space="preserve">1. Resumen Ejecutivo</w:t>
      </w:r>
    </w:p>
    <w:p>
      <w:pPr>
        <w:spacing w:after="160" w:line="300"/>
      </w:pPr>
      <w:r>
        <w:rPr>
          <w:color w:val="222222"/>
          <w:sz w:val="21"/>
          <w:szCs w:val="21"/>
        </w:rPr>
        <w:t xml:space="preserve">Esta propuesta presenta el diseño y plan de implementación de un Asistente Dental Digital orientado a modernizar la gestión clínica odontológica en Chile, tanto en establecimientos públicos de la Red del Servicio de Salud Concepción (SSC) como en clínicas dentales privadas y CESFAM que operan de forma autónoma.</w:t>
      </w:r>
    </w:p>
    <w:p>
      <w:pPr>
        <w:spacing w:after="160" w:line="300"/>
      </w:pPr>
      <w:r>
        <w:rPr>
          <w:color w:val="222222"/>
          <w:sz w:val="21"/>
          <w:szCs w:val="21"/>
        </w:rPr>
        <w:t xml:space="preserve">La solución se concibe bajo un modelo híbrido: puede funcionar de manera completamente independiente, sin depender de ningún sistema externo, y al mismo tiempo está diseñada desde su arquitectura para conectarse mediante una capa de interoperabilidad segura con SinetSur, el sistema de ficha clínica electrónica (FCE) desarrollado por el SSC y utilizado en la red asistencial del Gran Concepción.</w:t>
      </w:r>
    </w:p>
    <w:p>
      <w:pPr>
        <w:spacing w:after="160" w:line="300"/>
      </w:pPr>
      <w:r>
        <w:rPr>
          <w:color w:val="222222"/>
          <w:sz w:val="21"/>
          <w:szCs w:val="21"/>
        </w:rPr>
        <w:t xml:space="preserve">El stack tecnológico propuesto prioriza tres atributos no negociables para un producto de salud: seguridad (protección de datos clínicos sensibles conforme a la normativa chilena), escalabilidad (capacidad de crecer desde una clínica única hasta una red de establecimientos) y flexibilidad (capacidad de integrarse con distintos sistemas de información en salud, no solo SinetSur, mediante estándares abiertos).</w:t>
      </w:r>
    </w:p>
    <w:p>
      <w:pPr>
        <w:pStyle w:val="Heading1"/>
        <w:pBdr>
          <w:bottom w:val="single" w:color="1B3A5C" w:sz="6" w:space="4"/>
        </w:pBdr>
        <w:spacing w:after="200" w:before="400"/>
      </w:pPr>
      <w:r>
        <w:rPr>
          <w:b/>
          <w:bCs/>
          <w:color w:val="1B3A5C"/>
          <w:sz w:val="30"/>
          <w:szCs w:val="30"/>
        </w:rPr>
        <w:t xml:space="preserve">2. Contexto y Problemática</w:t>
      </w:r>
    </w:p>
    <w:p>
      <w:pPr>
        <w:spacing w:after="160" w:line="300"/>
      </w:pPr>
      <w:r>
        <w:rPr>
          <w:color w:val="222222"/>
          <w:sz w:val="21"/>
          <w:szCs w:val="21"/>
        </w:rPr>
        <w:t xml:space="preserve">El registro clínico odontológico en Chile presenta hoy una fragmentación relevante:</w:t>
      </w:r>
    </w:p>
    <w:p>
      <w:pPr>
        <w:pStyle w:val="ListParagraph"/>
        <w:numPr>
          <w:ilvl w:val="0"/>
          <w:numId w:val="2"/>
        </w:numPr>
        <w:spacing w:after="90" w:line="280"/>
      </w:pPr>
      <w:r>
        <w:rPr>
          <w:color w:val="222222"/>
          <w:sz w:val="21"/>
          <w:szCs w:val="21"/>
        </w:rPr>
        <w:t xml:space="preserve">En el sector público, sistemas como SinetSur concentran la ficha clínica electrónica a nivel hospitalario y de atención ambulatoria, pero el módulo odontológico suele tener menor desarrollo funcional que otras especialidades.</w:t>
      </w:r>
    </w:p>
    <w:p>
      <w:pPr>
        <w:pStyle w:val="ListParagraph"/>
        <w:numPr>
          <w:ilvl w:val="0"/>
          <w:numId w:val="2"/>
        </w:numPr>
        <w:spacing w:after="90" w:line="280"/>
      </w:pPr>
      <w:r>
        <w:rPr>
          <w:color w:val="222222"/>
          <w:sz w:val="21"/>
          <w:szCs w:val="21"/>
        </w:rPr>
        <w:t xml:space="preserve">Los establecimientos deben reportar periódicamente indicadores al DEIS (Departamento de Estadísticas e Información de Salud del MINSAL), como el REM (Resumen Estadístico Mensual), lo que exige doble digitación cuando los sistemas no están integrados.</w:t>
      </w:r>
    </w:p>
    <w:p>
      <w:pPr>
        <w:pStyle w:val="ListParagraph"/>
        <w:numPr>
          <w:ilvl w:val="0"/>
          <w:numId w:val="2"/>
        </w:numPr>
        <w:spacing w:after="90" w:line="280"/>
      </w:pPr>
      <w:r>
        <w:rPr>
          <w:color w:val="222222"/>
          <w:sz w:val="21"/>
          <w:szCs w:val="21"/>
        </w:rPr>
        <w:t xml:space="preserve">En el sector privado y en muchos CESFAM, la atención dental aún depende de fichas en papel o planillas no estandarizadas, dificultando la trazabilidad clínica y la continuidad de atención del paciente.</w:t>
      </w:r>
    </w:p>
    <w:p>
      <w:pPr>
        <w:pStyle w:val="ListParagraph"/>
        <w:numPr>
          <w:ilvl w:val="0"/>
          <w:numId w:val="2"/>
        </w:numPr>
        <w:spacing w:after="90" w:line="280"/>
      </w:pPr>
      <w:r>
        <w:rPr>
          <w:color w:val="222222"/>
          <w:sz w:val="21"/>
          <w:szCs w:val="21"/>
        </w:rPr>
        <w:t xml:space="preserve">No existe, a la fecha, una API pública y documentada de SinetSur; el acceso a integraciones requiere coordinación directa con el Departamento de Tecnologías de la Información del SSC.</w:t>
      </w:r>
    </w:p>
    <w:p>
      <w:pPr>
        <w:spacing w:after="160" w:line="300"/>
      </w:pPr>
      <w:r>
        <w:rPr>
          <w:color w:val="222222"/>
          <w:sz w:val="21"/>
          <w:szCs w:val="21"/>
        </w:rPr>
        <w:t xml:space="preserve">Este escenario abre una oportunidad concreta: construir una herramienta que resuelva la necesidad inmediata de digitalización clínica de forma autónoma, y que esté preparada técnicamente para conectarse de manera oficial cuando exista el convenio de interoperabilidad correspondiente con el SSC.</w:t>
      </w:r>
    </w:p>
    <w:p>
      <w:pPr>
        <w:pStyle w:val="Heading1"/>
        <w:pBdr>
          <w:bottom w:val="single" w:color="1B3A5C" w:sz="6" w:space="4"/>
        </w:pBdr>
        <w:spacing w:after="200" w:before="400"/>
      </w:pPr>
      <w:r>
        <w:rPr>
          <w:b/>
          <w:bCs/>
          <w:color w:val="1B3A5C"/>
          <w:sz w:val="30"/>
          <w:szCs w:val="30"/>
        </w:rPr>
        <w:t xml:space="preserve">3. Objetivos</w:t>
      </w:r>
    </w:p>
    <w:p>
      <w:pPr>
        <w:pStyle w:val="Heading2"/>
        <w:spacing w:after="150" w:before="300"/>
      </w:pPr>
      <w:r>
        <w:rPr>
          <w:b/>
          <w:bCs/>
          <w:color w:val="0E7C7B"/>
          <w:sz w:val="24"/>
          <w:szCs w:val="24"/>
        </w:rPr>
        <w:t xml:space="preserve">3.1 Objetivo General</w:t>
      </w:r>
    </w:p>
    <w:p>
      <w:pPr>
        <w:spacing w:after="160" w:line="300"/>
      </w:pPr>
      <w:r>
        <w:rPr>
          <w:color w:val="222222"/>
          <w:sz w:val="21"/>
          <w:szCs w:val="21"/>
        </w:rPr>
        <w:t xml:space="preserve">Desarrollar un asistente digital de gestión clínica dental, seguro y escalable, capaz de operar de forma independiente y de integrarse mediante API con sistemas de salud pública como SinetSur, para el Servicio de Salud Concepción y, potencialmente, otros Servicios de Salud del país.</w:t>
      </w:r>
    </w:p>
    <w:p>
      <w:pPr>
        <w:pStyle w:val="Heading2"/>
        <w:spacing w:after="150" w:before="300"/>
      </w:pPr>
      <w:r>
        <w:rPr>
          <w:b/>
          <w:bCs/>
          <w:color w:val="0E7C7B"/>
          <w:sz w:val="24"/>
          <w:szCs w:val="24"/>
        </w:rPr>
        <w:t xml:space="preserve">3.2 Objetivos Específicos</w:t>
      </w:r>
    </w:p>
    <w:p>
      <w:pPr>
        <w:pStyle w:val="ListParagraph"/>
        <w:numPr>
          <w:ilvl w:val="0"/>
          <w:numId w:val="2"/>
        </w:numPr>
        <w:spacing w:after="90" w:line="280"/>
      </w:pPr>
      <w:r>
        <w:rPr>
          <w:color w:val="222222"/>
          <w:sz w:val="21"/>
          <w:szCs w:val="21"/>
        </w:rPr>
        <w:t xml:space="preserve">Digitalizar el odontograma, la ficha clínica y la agenda de atención dental con una interfaz ágil para el equipo clínico.</w:t>
      </w:r>
    </w:p>
    <w:p>
      <w:pPr>
        <w:pStyle w:val="ListParagraph"/>
        <w:numPr>
          <w:ilvl w:val="0"/>
          <w:numId w:val="2"/>
        </w:numPr>
        <w:spacing w:after="90" w:line="280"/>
      </w:pPr>
      <w:r>
        <w:rPr>
          <w:color w:val="222222"/>
          <w:sz w:val="21"/>
          <w:szCs w:val="21"/>
        </w:rPr>
        <w:t xml:space="preserve">Diseñar una arquitectura de interoperabilidad basada en estándares internacionales (HL7 FHIR) que permita conectar el asistente con SinetSur sin comprometer su funcionamiento autónomo.</w:t>
      </w:r>
    </w:p>
    <w:p>
      <w:pPr>
        <w:pStyle w:val="ListParagraph"/>
        <w:numPr>
          <w:ilvl w:val="0"/>
          <w:numId w:val="2"/>
        </w:numPr>
        <w:spacing w:after="90" w:line="280"/>
      </w:pPr>
      <w:r>
        <w:rPr>
          <w:color w:val="222222"/>
          <w:sz w:val="21"/>
          <w:szCs w:val="21"/>
        </w:rPr>
        <w:t xml:space="preserve">Automatizar la generación de reportería estadística (REM/DEIS) a partir de los datos clínicos registrados.</w:t>
      </w:r>
    </w:p>
    <w:p>
      <w:pPr>
        <w:pStyle w:val="ListParagraph"/>
        <w:numPr>
          <w:ilvl w:val="0"/>
          <w:numId w:val="2"/>
        </w:numPr>
        <w:spacing w:after="90" w:line="280"/>
      </w:pPr>
      <w:r>
        <w:rPr>
          <w:color w:val="222222"/>
          <w:sz w:val="21"/>
          <w:szCs w:val="21"/>
        </w:rPr>
        <w:t xml:space="preserve">Garantizar el cumplimiento de la normativa chilena de protección de datos personales y de ficha clínica electrónica.</w:t>
      </w:r>
    </w:p>
    <w:p>
      <w:pPr>
        <w:pStyle w:val="ListParagraph"/>
        <w:numPr>
          <w:ilvl w:val="0"/>
          <w:numId w:val="2"/>
        </w:numPr>
        <w:spacing w:after="90" w:line="280"/>
      </w:pPr>
      <w:r>
        <w:rPr>
          <w:color w:val="222222"/>
          <w:sz w:val="21"/>
          <w:szCs w:val="21"/>
        </w:rPr>
        <w:t xml:space="preserve">Ofrecer un producto replicable, tanto para el sector público (otros Servicios de Salud) como para clínicas dentales privadas independientes.</w:t>
      </w:r>
    </w:p>
    <w:p>
      <w:pPr>
        <w:pStyle w:val="Heading1"/>
        <w:pBdr>
          <w:bottom w:val="single" w:color="1B3A5C" w:sz="6" w:space="4"/>
        </w:pBdr>
        <w:spacing w:after="200" w:before="400"/>
      </w:pPr>
      <w:r>
        <w:rPr>
          <w:b/>
          <w:bCs/>
          <w:color w:val="1B3A5C"/>
          <w:sz w:val="30"/>
          <w:szCs w:val="30"/>
        </w:rPr>
        <w:t xml:space="preserve">4. Alcance de la Propuesta</w:t>
      </w:r>
    </w:p>
    <w:p>
      <w:pPr>
        <w:pStyle w:val="Heading2"/>
        <w:spacing w:after="150" w:before="300"/>
      </w:pPr>
      <w:r>
        <w:rPr>
          <w:b/>
          <w:bCs/>
          <w:color w:val="0E7C7B"/>
          <w:sz w:val="24"/>
          <w:szCs w:val="24"/>
        </w:rPr>
        <w:t xml:space="preserve">4.1 Modo Independiente (Standalone)</w:t>
      </w:r>
    </w:p>
    <w:p>
      <w:pPr>
        <w:spacing w:after="160" w:line="300"/>
      </w:pPr>
      <w:r>
        <w:rPr>
          <w:color w:val="222222"/>
          <w:sz w:val="21"/>
          <w:szCs w:val="21"/>
        </w:rPr>
        <w:t xml:space="preserve">Versión completa del asistente que no requiere ninguna conexión externa. Incluye odontograma digital (notación FDI), ficha clínica electrónica propia, agenda de atención, registro de tratamientos y, opcionalmente, el módulo de carga periodontal por voz ya desarrollado como prueba de concepto. Este modo está pensado para clínicas privadas, consultas particulares y CESFAM que no cuentan con acceso a SinetSur.</w:t>
      </w:r>
    </w:p>
    <w:p>
      <w:pPr>
        <w:pStyle w:val="Heading2"/>
        <w:spacing w:after="150" w:before="300"/>
      </w:pPr>
      <w:r>
        <w:rPr>
          <w:b/>
          <w:bCs/>
          <w:color w:val="0E7C7B"/>
          <w:sz w:val="24"/>
          <w:szCs w:val="24"/>
        </w:rPr>
        <w:t xml:space="preserve">4.2 Modo Integrado (Conectado a SinetSur)</w:t>
      </w:r>
    </w:p>
    <w:p>
      <w:pPr>
        <w:spacing w:after="160" w:line="300"/>
      </w:pPr>
      <w:r>
        <w:rPr>
          <w:color w:val="222222"/>
          <w:sz w:val="21"/>
          <w:szCs w:val="21"/>
        </w:rPr>
        <w:t xml:space="preserve">Capa adicional que sincroniza identidad del paciente, atenciones y datos clínicos relevantes con SinetSur, sujeta a la existencia de un convenio formal de colaboración e interoperabilidad con el SSC. Este modo no reemplaza a SinetSur: actúa como un módulo especializado de odontología que se comunica con él, evitando doble digitación y fortaleciendo la trazabilidad del paciente en la red asistencial.</w:t>
      </w:r>
    </w:p>
    <w:p>
      <w:pPr>
        <w:pStyle w:val="Heading2"/>
        <w:spacing w:after="150" w:before="300"/>
      </w:pPr>
      <w:r>
        <w:rPr>
          <w:b/>
          <w:bCs/>
          <w:color w:val="0E7C7B"/>
          <w:sz w:val="24"/>
          <w:szCs w:val="24"/>
        </w:rPr>
        <w:t xml:space="preserve">4.3 Fuera de Alcance (en esta etapa)</w:t>
      </w:r>
    </w:p>
    <w:p>
      <w:pPr>
        <w:pStyle w:val="ListParagraph"/>
        <w:numPr>
          <w:ilvl w:val="0"/>
          <w:numId w:val="2"/>
        </w:numPr>
        <w:spacing w:after="90" w:line="280"/>
      </w:pPr>
      <w:r>
        <w:rPr>
          <w:color w:val="222222"/>
          <w:sz w:val="21"/>
          <w:szCs w:val="21"/>
        </w:rPr>
        <w:t xml:space="preserve">Reemplazo del sistema HIS/FCE central del SSC (DB Health Care / Galileo / SinetSur).</w:t>
      </w:r>
    </w:p>
    <w:p>
      <w:pPr>
        <w:pStyle w:val="ListParagraph"/>
        <w:numPr>
          <w:ilvl w:val="0"/>
          <w:numId w:val="2"/>
        </w:numPr>
        <w:spacing w:after="90" w:line="280"/>
      </w:pPr>
      <w:r>
        <w:rPr>
          <w:color w:val="222222"/>
          <w:sz w:val="21"/>
          <w:szCs w:val="21"/>
        </w:rPr>
        <w:t xml:space="preserve">Acceso automático a la API de SinetSur sin convenio previo firmado con el SSC, dado que actualmente no existe una API pública documentada.</w:t>
      </w:r>
    </w:p>
    <w:p>
      <w:pPr>
        <w:pStyle w:val="Heading1"/>
        <w:pBdr>
          <w:bottom w:val="single" w:color="1B3A5C" w:sz="6" w:space="4"/>
        </w:pBdr>
        <w:spacing w:after="200" w:before="400"/>
      </w:pPr>
      <w:r>
        <w:rPr>
          <w:b/>
          <w:bCs/>
          <w:color w:val="1B3A5C"/>
          <w:sz w:val="30"/>
          <w:szCs w:val="30"/>
        </w:rPr>
        <w:t xml:space="preserve">5. Arquitectura de la Solución</w:t>
      </w:r>
    </w:p>
    <w:p>
      <w:pPr>
        <w:spacing w:after="160" w:line="300"/>
      </w:pPr>
      <w:r>
        <w:rPr>
          <w:color w:val="222222"/>
          <w:sz w:val="21"/>
          <w:szCs w:val="21"/>
        </w:rPr>
        <w:t xml:space="preserve">La arquitectura se organiza en capas independientes, de modo que el núcleo clínico funcione siempre —con o sin conectividad— y que la integración con sistemas externos sea un componente desacoplado y reemplazable:</w:t>
      </w:r>
    </w:p>
    <w:p>
      <w:pPr>
        <w:pStyle w:val="ListParagraph"/>
        <w:numPr>
          <w:ilvl w:val="0"/>
          <w:numId w:val="2"/>
        </w:numPr>
        <w:spacing w:after="90" w:line="280"/>
      </w:pPr>
      <w:r>
        <w:rPr>
          <w:color w:val="222222"/>
          <w:sz w:val="21"/>
          <w:szCs w:val="21"/>
        </w:rPr>
        <w:t xml:space="preserve">Capa de presentación: aplicación web responsiva y aplicación móvil para uso en box clínico.</w:t>
      </w:r>
    </w:p>
    <w:p>
      <w:pPr>
        <w:pStyle w:val="ListParagraph"/>
        <w:numPr>
          <w:ilvl w:val="0"/>
          <w:numId w:val="2"/>
        </w:numPr>
        <w:spacing w:after="90" w:line="280"/>
      </w:pPr>
      <w:r>
        <w:rPr>
          <w:color w:val="222222"/>
          <w:sz w:val="21"/>
          <w:szCs w:val="21"/>
        </w:rPr>
        <w:t xml:space="preserve">Capa de aplicación/API: lógica de negocio, reglas clínicas, autenticación y control de acceso.</w:t>
      </w:r>
    </w:p>
    <w:p>
      <w:pPr>
        <w:pStyle w:val="ListParagraph"/>
        <w:numPr>
          <w:ilvl w:val="0"/>
          <w:numId w:val="2"/>
        </w:numPr>
        <w:spacing w:after="90" w:line="280"/>
      </w:pPr>
      <w:r>
        <w:rPr>
          <w:color w:val="222222"/>
          <w:sz w:val="21"/>
          <w:szCs w:val="21"/>
        </w:rPr>
        <w:t xml:space="preserve">Capa de interoperabilidad: adaptador dedicado que traduce los datos internos al estándar HL7 FHIR y gestiona la comunicación con SinetSur u otros sistemas de salud.</w:t>
      </w:r>
    </w:p>
    <w:p>
      <w:pPr>
        <w:pStyle w:val="ListParagraph"/>
        <w:numPr>
          <w:ilvl w:val="0"/>
          <w:numId w:val="2"/>
        </w:numPr>
        <w:spacing w:after="90" w:line="280"/>
      </w:pPr>
      <w:r>
        <w:rPr>
          <w:color w:val="222222"/>
          <w:sz w:val="21"/>
          <w:szCs w:val="21"/>
        </w:rPr>
        <w:t xml:space="preserve">Capa de datos: base de datos transaccional propia, con respaldo y auditoría independientes de cualquier sistema externo.</w:t>
      </w:r>
    </w:p>
    <w:p>
      <w:pPr>
        <w:pStyle w:val="ListParagraph"/>
        <w:numPr>
          <w:ilvl w:val="0"/>
          <w:numId w:val="2"/>
        </w:numPr>
        <w:spacing w:after="90" w:line="280"/>
      </w:pPr>
      <w:r>
        <w:rPr>
          <w:color w:val="222222"/>
          <w:sz w:val="21"/>
          <w:szCs w:val="21"/>
        </w:rPr>
        <w:t xml:space="preserve">Capa de infraestructura y seguridad: control de identidad, cifrado, monitoreo y despliegue.</w:t>
      </w:r>
    </w:p>
    <w:p>
      <w:pPr>
        <w:spacing w:after="160" w:line="300"/>
      </w:pPr>
      <w:r>
        <w:rPr>
          <w:color w:val="222222"/>
          <w:sz w:val="21"/>
          <w:szCs w:val="21"/>
        </w:rPr>
        <w:t xml:space="preserve">Este diseño en capas es lo que permite que el mismo producto sirva tanto a una clínica privada aislada como a un establecimiento conectado a la red del SSC, sin duplicar desarrollo.</w:t>
      </w:r>
    </w:p>
    <w:p>
      <w:pPr>
        <w:pStyle w:val="Heading1"/>
        <w:pBdr>
          <w:bottom w:val="single" w:color="1B3A5C" w:sz="6" w:space="4"/>
        </w:pBdr>
        <w:spacing w:after="200" w:before="400"/>
      </w:pPr>
      <w:r>
        <w:rPr>
          <w:b/>
          <w:bCs/>
          <w:color w:val="1B3A5C"/>
          <w:sz w:val="30"/>
          <w:szCs w:val="30"/>
        </w:rPr>
        <w:t xml:space="preserve">6. Stack Tecnológico Propuesto</w:t>
      </w:r>
    </w:p>
    <w:p>
      <w:pPr>
        <w:spacing w:after="160" w:line="300"/>
      </w:pPr>
      <w:r>
        <w:rPr>
          <w:color w:val="222222"/>
          <w:sz w:val="21"/>
          <w:szCs w:val="21"/>
        </w:rPr>
        <w:t xml:space="preserve">El stack se selecciona priorizando madurez, soporte de largo plazo y estándares abiertos de salud, evitando dependencia de un único proveedor ("vendor lock-in"):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1B3A5C" w:val="clear"/>
            <w:tcMar>
              <w:top w:type="dxa" w:w="100"/>
              <w:left w:type="dxa" w:w="120"/>
              <w:bottom w:type="dxa" w:w="100"/>
              <w:right w:type="dxa" w:w="120"/>
            </w:tcMar>
          </w:tcPr>
          <w:p>
            <w:r>
              <w:rPr>
                <w:b/>
                <w:bCs/>
                <w:color w:val="FFFFFF"/>
                <w:sz w:val="20"/>
                <w:szCs w:val="20"/>
              </w:rPr>
              <w:t xml:space="preserve">Capa</w:t>
            </w:r>
          </w:p>
        </w:tc>
        <w:tc>
          <w:tcPr>
            <w:tcW w:type="dxa" w:w="3600"/>
            <w:shd w:fill="1B3A5C" w:val="clear"/>
            <w:tcMar>
              <w:top w:type="dxa" w:w="100"/>
              <w:left w:type="dxa" w:w="120"/>
              <w:bottom w:type="dxa" w:w="100"/>
              <w:right w:type="dxa" w:w="120"/>
            </w:tcMar>
          </w:tcPr>
          <w:p>
            <w:r>
              <w:rPr>
                <w:b/>
                <w:bCs/>
                <w:color w:val="FFFFFF"/>
                <w:sz w:val="20"/>
                <w:szCs w:val="20"/>
              </w:rPr>
              <w:t xml:space="preserve">Tecnología propuesta</w:t>
            </w:r>
          </w:p>
        </w:tc>
        <w:tc>
          <w:tcPr>
            <w:tcW w:type="dxa" w:w="3600"/>
            <w:shd w:fill="1B3A5C" w:val="clear"/>
            <w:tcMar>
              <w:top w:type="dxa" w:w="100"/>
              <w:left w:type="dxa" w:w="120"/>
              <w:bottom w:type="dxa" w:w="100"/>
              <w:right w:type="dxa" w:w="120"/>
            </w:tcMar>
          </w:tcPr>
          <w:p>
            <w:r>
              <w:rPr>
                <w:b/>
                <w:bCs/>
                <w:color w:val="FFFFFF"/>
                <w:sz w:val="20"/>
                <w:szCs w:val="20"/>
              </w:rPr>
              <w:t xml:space="preserve">Justificación (seguridad / escalabilidad / flexibilidad)</w:t>
            </w:r>
          </w:p>
        </w:tc>
      </w:tr>
      <w:tr>
        <w:tc>
          <w:tcPr>
            <w:tcW w:type="dxa" w:w="2200"/>
            <w:shd w:fill="FFFFFF" w:val="clear"/>
            <w:tcMar>
              <w:top w:type="dxa" w:w="100"/>
              <w:left w:type="dxa" w:w="120"/>
              <w:bottom w:type="dxa" w:w="100"/>
              <w:right w:type="dxa" w:w="120"/>
            </w:tcMar>
          </w:tcPr>
          <w:p>
            <w:r>
              <w:rPr>
                <w:b w:val="false"/>
                <w:bCs w:val="false"/>
                <w:color w:val="222222"/>
                <w:sz w:val="20"/>
                <w:szCs w:val="20"/>
              </w:rPr>
              <w:t xml:space="preserve">Frontend web</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React con Next.js, TypeScript</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Tipado estático reduce errores en datos clínicos; renderizado híbrido mejora rendimiento; ecosistema maduro y de largo soporte.</w:t>
            </w:r>
          </w:p>
        </w:tc>
      </w:tr>
      <w:tr>
        <w:tc>
          <w:tcPr>
            <w:tcW w:type="dxa" w:w="2200"/>
            <w:shd w:fill="F2F2F2" w:val="clear"/>
            <w:tcMar>
              <w:top w:type="dxa" w:w="100"/>
              <w:left w:type="dxa" w:w="120"/>
              <w:bottom w:type="dxa" w:w="100"/>
              <w:right w:type="dxa" w:w="120"/>
            </w:tcMar>
          </w:tcPr>
          <w:p>
            <w:r>
              <w:rPr>
                <w:b w:val="false"/>
                <w:bCs w:val="false"/>
                <w:color w:val="222222"/>
                <w:sz w:val="20"/>
                <w:szCs w:val="20"/>
              </w:rPr>
              <w:t xml:space="preserve">Frontend móvil</w:t>
            </w:r>
          </w:p>
        </w:tc>
        <w:tc>
          <w:tcPr>
            <w:tcW w:type="dxa" w:w="3600"/>
            <w:shd w:fill="F2F2F2" w:val="clear"/>
            <w:tcMar>
              <w:top w:type="dxa" w:w="100"/>
              <w:left w:type="dxa" w:w="120"/>
              <w:bottom w:type="dxa" w:w="100"/>
              <w:right w:type="dxa" w:w="120"/>
            </w:tcMar>
          </w:tcPr>
          <w:p>
            <w:r>
              <w:rPr>
                <w:b w:val="false"/>
                <w:bCs w:val="false"/>
                <w:color w:val="222222"/>
                <w:sz w:val="20"/>
                <w:szCs w:val="20"/>
              </w:rPr>
              <w:t xml:space="preserve">React Native (Expo)</w:t>
            </w:r>
          </w:p>
        </w:tc>
        <w:tc>
          <w:tcPr>
            <w:tcW w:type="dxa" w:w="3600"/>
            <w:shd w:fill="F2F2F2" w:val="clear"/>
            <w:tcMar>
              <w:top w:type="dxa" w:w="100"/>
              <w:left w:type="dxa" w:w="120"/>
              <w:bottom w:type="dxa" w:w="100"/>
              <w:right w:type="dxa" w:w="120"/>
            </w:tcMar>
          </w:tcPr>
          <w:p>
            <w:r>
              <w:rPr>
                <w:b w:val="false"/>
                <w:bCs w:val="false"/>
                <w:color w:val="222222"/>
                <w:sz w:val="20"/>
                <w:szCs w:val="20"/>
              </w:rPr>
              <w:t xml:space="preserve">Permite reutilizar lógica con el equipo web; ya validado en proyectos previos (ProtoField); despliegue rápido en Android/iOS para uso en box clínico.</w:t>
            </w:r>
          </w:p>
        </w:tc>
      </w:tr>
      <w:tr>
        <w:tc>
          <w:tcPr>
            <w:tcW w:type="dxa" w:w="2200"/>
            <w:shd w:fill="FFFFFF" w:val="clear"/>
            <w:tcMar>
              <w:top w:type="dxa" w:w="100"/>
              <w:left w:type="dxa" w:w="120"/>
              <w:bottom w:type="dxa" w:w="100"/>
              <w:right w:type="dxa" w:w="120"/>
            </w:tcMar>
          </w:tcPr>
          <w:p>
            <w:r>
              <w:rPr>
                <w:b w:val="false"/>
                <w:bCs w:val="false"/>
                <w:color w:val="222222"/>
                <w:sz w:val="20"/>
                <w:szCs w:val="20"/>
              </w:rPr>
              <w:t xml:space="preserve">Backend / API</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Node.js con NestJS (arquitectura modular), alternativa Python con FastAPI para módulos de análisis de datos</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Estructura modular facilita separar el núcleo clínico del módulo de integración; tipado y validación estricta de datos de entrada.</w:t>
            </w:r>
          </w:p>
        </w:tc>
      </w:tr>
      <w:tr>
        <w:tc>
          <w:tcPr>
            <w:tcW w:type="dxa" w:w="2200"/>
            <w:shd w:fill="F2F2F2" w:val="clear"/>
            <w:tcMar>
              <w:top w:type="dxa" w:w="100"/>
              <w:left w:type="dxa" w:w="120"/>
              <w:bottom w:type="dxa" w:w="100"/>
              <w:right w:type="dxa" w:w="120"/>
            </w:tcMar>
          </w:tcPr>
          <w:p>
            <w:r>
              <w:rPr>
                <w:b w:val="false"/>
                <w:bCs w:val="false"/>
                <w:color w:val="222222"/>
                <w:sz w:val="20"/>
                <w:szCs w:val="20"/>
              </w:rPr>
              <w:t xml:space="preserve">Interoperabilidad en salud</w:t>
            </w:r>
          </w:p>
        </w:tc>
        <w:tc>
          <w:tcPr>
            <w:tcW w:type="dxa" w:w="3600"/>
            <w:shd w:fill="F2F2F2" w:val="clear"/>
            <w:tcMar>
              <w:top w:type="dxa" w:w="100"/>
              <w:left w:type="dxa" w:w="120"/>
              <w:bottom w:type="dxa" w:w="100"/>
              <w:right w:type="dxa" w:w="120"/>
            </w:tcMar>
          </w:tcPr>
          <w:p>
            <w:r>
              <w:rPr>
                <w:b w:val="false"/>
                <w:bCs w:val="false"/>
                <w:color w:val="222222"/>
                <w:sz w:val="20"/>
                <w:szCs w:val="20"/>
              </w:rPr>
              <w:t xml:space="preserve">Estándar HL7 FHIR, motor de integración tipo HAPI FHIR / Mirth Connect como adaptador hacia SinetSur</w:t>
            </w:r>
          </w:p>
        </w:tc>
        <w:tc>
          <w:tcPr>
            <w:tcW w:type="dxa" w:w="3600"/>
            <w:shd w:fill="F2F2F2" w:val="clear"/>
            <w:tcMar>
              <w:top w:type="dxa" w:w="100"/>
              <w:left w:type="dxa" w:w="120"/>
              <w:bottom w:type="dxa" w:w="100"/>
              <w:right w:type="dxa" w:w="120"/>
            </w:tcMar>
          </w:tcPr>
          <w:p>
            <w:r>
              <w:rPr>
                <w:b w:val="false"/>
                <w:bCs w:val="false"/>
                <w:color w:val="222222"/>
                <w:sz w:val="20"/>
                <w:szCs w:val="20"/>
              </w:rPr>
              <w:t xml:space="preserve">Estándar internacional abierto; permite conectar no solo con SinetSur sino con cualquier sistema de salud que adopte FHIR a futuro, sin reescribir el núcleo.</w:t>
            </w:r>
          </w:p>
        </w:tc>
      </w:tr>
      <w:tr>
        <w:tc>
          <w:tcPr>
            <w:tcW w:type="dxa" w:w="2200"/>
            <w:shd w:fill="FFFFFF" w:val="clear"/>
            <w:tcMar>
              <w:top w:type="dxa" w:w="100"/>
              <w:left w:type="dxa" w:w="120"/>
              <w:bottom w:type="dxa" w:w="100"/>
              <w:right w:type="dxa" w:w="120"/>
            </w:tcMar>
          </w:tcPr>
          <w:p>
            <w:r>
              <w:rPr>
                <w:b w:val="false"/>
                <w:bCs w:val="false"/>
                <w:color w:val="222222"/>
                <w:sz w:val="20"/>
                <w:szCs w:val="20"/>
              </w:rPr>
              <w:t xml:space="preserve">Base de datos</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PostgreSQL con seguridad a nivel de fila (Row-Level Security)</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Motor open source robusto, con aislamiento de datos por clínica/usuario; ya utilizado con éxito en proyectos previos (DiveLog Pro).</w:t>
            </w:r>
          </w:p>
        </w:tc>
      </w:tr>
      <w:tr>
        <w:tc>
          <w:tcPr>
            <w:tcW w:type="dxa" w:w="2200"/>
            <w:shd w:fill="F2F2F2" w:val="clear"/>
            <w:tcMar>
              <w:top w:type="dxa" w:w="100"/>
              <w:left w:type="dxa" w:w="120"/>
              <w:bottom w:type="dxa" w:w="100"/>
              <w:right w:type="dxa" w:w="120"/>
            </w:tcMar>
          </w:tcPr>
          <w:p>
            <w:r>
              <w:rPr>
                <w:b w:val="false"/>
                <w:bCs w:val="false"/>
                <w:color w:val="222222"/>
                <w:sz w:val="20"/>
                <w:szCs w:val="20"/>
              </w:rPr>
              <w:t xml:space="preserve">Mensajería / resiliencia</w:t>
            </w:r>
          </w:p>
        </w:tc>
        <w:tc>
          <w:tcPr>
            <w:tcW w:type="dxa" w:w="3600"/>
            <w:shd w:fill="F2F2F2" w:val="clear"/>
            <w:tcMar>
              <w:top w:type="dxa" w:w="100"/>
              <w:left w:type="dxa" w:w="120"/>
              <w:bottom w:type="dxa" w:w="100"/>
              <w:right w:type="dxa" w:w="120"/>
            </w:tcMar>
          </w:tcPr>
          <w:p>
            <w:r>
              <w:rPr>
                <w:b w:val="false"/>
                <w:bCs w:val="false"/>
                <w:color w:val="222222"/>
                <w:sz w:val="20"/>
                <w:szCs w:val="20"/>
              </w:rPr>
              <w:t xml:space="preserve">Cola de mensajes (por ejemplo RabbitMQ o servicio equivalente gestionado) para sincronización asíncrona</w:t>
            </w:r>
          </w:p>
        </w:tc>
        <w:tc>
          <w:tcPr>
            <w:tcW w:type="dxa" w:w="3600"/>
            <w:shd w:fill="F2F2F2" w:val="clear"/>
            <w:tcMar>
              <w:top w:type="dxa" w:w="100"/>
              <w:left w:type="dxa" w:w="120"/>
              <w:bottom w:type="dxa" w:w="100"/>
              <w:right w:type="dxa" w:w="120"/>
            </w:tcMar>
          </w:tcPr>
          <w:p>
            <w:r>
              <w:rPr>
                <w:b w:val="false"/>
                <w:bCs w:val="false"/>
                <w:color w:val="222222"/>
                <w:sz w:val="20"/>
                <w:szCs w:val="20"/>
              </w:rPr>
              <w:t xml:space="preserve">Si SinetSur no responde o está en mantención, el asistente sigue operando localmente y sincroniza cuando el servicio se restablece.</w:t>
            </w:r>
          </w:p>
        </w:tc>
      </w:tr>
      <w:tr>
        <w:tc>
          <w:tcPr>
            <w:tcW w:type="dxa" w:w="2200"/>
            <w:shd w:fill="FFFFFF" w:val="clear"/>
            <w:tcMar>
              <w:top w:type="dxa" w:w="100"/>
              <w:left w:type="dxa" w:w="120"/>
              <w:bottom w:type="dxa" w:w="100"/>
              <w:right w:type="dxa" w:w="120"/>
            </w:tcMar>
          </w:tcPr>
          <w:p>
            <w:r>
              <w:rPr>
                <w:b w:val="false"/>
                <w:bCs w:val="false"/>
                <w:color w:val="222222"/>
                <w:sz w:val="20"/>
                <w:szCs w:val="20"/>
              </w:rPr>
              <w:t xml:space="preserve">Autenticación y autorización</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OAuth 2.0 / OpenID Connect, JWT de corta duración, autenticación multifactor</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Estándar de la industria; permite además integrarse a futuro con la identidad corporativa del SSC si se requiere.</w:t>
            </w:r>
          </w:p>
        </w:tc>
      </w:tr>
      <w:tr>
        <w:tc>
          <w:tcPr>
            <w:tcW w:type="dxa" w:w="2200"/>
            <w:shd w:fill="F2F2F2" w:val="clear"/>
            <w:tcMar>
              <w:top w:type="dxa" w:w="100"/>
              <w:left w:type="dxa" w:w="120"/>
              <w:bottom w:type="dxa" w:w="100"/>
              <w:right w:type="dxa" w:w="120"/>
            </w:tcMar>
          </w:tcPr>
          <w:p>
            <w:r>
              <w:rPr>
                <w:b w:val="false"/>
                <w:bCs w:val="false"/>
                <w:color w:val="222222"/>
                <w:sz w:val="20"/>
                <w:szCs w:val="20"/>
              </w:rPr>
              <w:t xml:space="preserve">Infraestructura</w:t>
            </w:r>
          </w:p>
        </w:tc>
        <w:tc>
          <w:tcPr>
            <w:tcW w:type="dxa" w:w="3600"/>
            <w:shd w:fill="F2F2F2" w:val="clear"/>
            <w:tcMar>
              <w:top w:type="dxa" w:w="100"/>
              <w:left w:type="dxa" w:w="120"/>
              <w:bottom w:type="dxa" w:w="100"/>
              <w:right w:type="dxa" w:w="120"/>
            </w:tcMar>
          </w:tcPr>
          <w:p>
            <w:r>
              <w:rPr>
                <w:b w:val="false"/>
                <w:bCs w:val="false"/>
                <w:color w:val="222222"/>
                <w:sz w:val="20"/>
                <w:szCs w:val="20"/>
              </w:rPr>
              <w:t xml:space="preserve">Contenedores (Docker) orquestados con Kubernetes; nube (AWS/Azure/GCP) con opción de despliegue on-premise para organismos públicos</w:t>
            </w:r>
          </w:p>
        </w:tc>
        <w:tc>
          <w:tcPr>
            <w:tcW w:type="dxa" w:w="3600"/>
            <w:shd w:fill="F2F2F2" w:val="clear"/>
            <w:tcMar>
              <w:top w:type="dxa" w:w="100"/>
              <w:left w:type="dxa" w:w="120"/>
              <w:bottom w:type="dxa" w:w="100"/>
              <w:right w:type="dxa" w:w="120"/>
            </w:tcMar>
          </w:tcPr>
          <w:p>
            <w:r>
              <w:rPr>
                <w:b w:val="false"/>
                <w:bCs w:val="false"/>
                <w:color w:val="222222"/>
                <w:sz w:val="20"/>
                <w:szCs w:val="20"/>
              </w:rPr>
              <w:t xml:space="preserve">Escalabilidad horizontal según demanda; opción on-premise responde a posibles restricciones de datos de entidades públicas.</w:t>
            </w:r>
          </w:p>
        </w:tc>
      </w:tr>
      <w:tr>
        <w:tc>
          <w:tcPr>
            <w:tcW w:type="dxa" w:w="2200"/>
            <w:shd w:fill="FFFFFF" w:val="clear"/>
            <w:tcMar>
              <w:top w:type="dxa" w:w="100"/>
              <w:left w:type="dxa" w:w="120"/>
              <w:bottom w:type="dxa" w:w="100"/>
              <w:right w:type="dxa" w:w="120"/>
            </w:tcMar>
          </w:tcPr>
          <w:p>
            <w:r>
              <w:rPr>
                <w:b w:val="false"/>
                <w:bCs w:val="false"/>
                <w:color w:val="222222"/>
                <w:sz w:val="20"/>
                <w:szCs w:val="20"/>
              </w:rPr>
              <w:t xml:space="preserve">Seguridad de datos</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Cifrado en tránsito (TLS 1.3), cifrado en reposo (AES-256), gestión de secretos (Vault o equivalente), registro de auditoría inmutable</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Protege datos clínicos sensibles en cada etapa; el registro de auditoría permite trazabilidad ante cualquier revisión regulatoria.</w:t>
            </w:r>
          </w:p>
        </w:tc>
      </w:tr>
      <w:tr>
        <w:tc>
          <w:tcPr>
            <w:tcW w:type="dxa" w:w="2200"/>
            <w:shd w:fill="F2F2F2" w:val="clear"/>
            <w:tcMar>
              <w:top w:type="dxa" w:w="100"/>
              <w:left w:type="dxa" w:w="120"/>
              <w:bottom w:type="dxa" w:w="100"/>
              <w:right w:type="dxa" w:w="120"/>
            </w:tcMar>
          </w:tcPr>
          <w:p>
            <w:r>
              <w:rPr>
                <w:b w:val="false"/>
                <w:bCs w:val="false"/>
                <w:color w:val="222222"/>
                <w:sz w:val="20"/>
                <w:szCs w:val="20"/>
              </w:rPr>
              <w:t xml:space="preserve">DevOps / calidad</w:t>
            </w:r>
          </w:p>
        </w:tc>
        <w:tc>
          <w:tcPr>
            <w:tcW w:type="dxa" w:w="3600"/>
            <w:shd w:fill="F2F2F2" w:val="clear"/>
            <w:tcMar>
              <w:top w:type="dxa" w:w="100"/>
              <w:left w:type="dxa" w:w="120"/>
              <w:bottom w:type="dxa" w:w="100"/>
              <w:right w:type="dxa" w:w="120"/>
            </w:tcMar>
          </w:tcPr>
          <w:p>
            <w:r>
              <w:rPr>
                <w:b w:val="false"/>
                <w:bCs w:val="false"/>
                <w:color w:val="222222"/>
                <w:sz w:val="20"/>
                <w:szCs w:val="20"/>
              </w:rPr>
              <w:t xml:space="preserve">Integración y despliegue continuo (CI/CD), infraestructura como código (Terraform), pruebas automatizadas</w:t>
            </w:r>
          </w:p>
        </w:tc>
        <w:tc>
          <w:tcPr>
            <w:tcW w:type="dxa" w:w="3600"/>
            <w:shd w:fill="F2F2F2" w:val="clear"/>
            <w:tcMar>
              <w:top w:type="dxa" w:w="100"/>
              <w:left w:type="dxa" w:w="120"/>
              <w:bottom w:type="dxa" w:w="100"/>
              <w:right w:type="dxa" w:w="120"/>
            </w:tcMar>
          </w:tcPr>
          <w:p>
            <w:r>
              <w:rPr>
                <w:b w:val="false"/>
                <w:bCs w:val="false"/>
                <w:color w:val="222222"/>
                <w:sz w:val="20"/>
                <w:szCs w:val="20"/>
              </w:rPr>
              <w:t xml:space="preserve">Reduce errores humanos en despliegues a producción y acelera la entrega de mejoras.</w:t>
            </w:r>
          </w:p>
        </w:tc>
      </w:tr>
      <w:tr>
        <w:tc>
          <w:tcPr>
            <w:tcW w:type="dxa" w:w="2200"/>
            <w:shd w:fill="FFFFFF" w:val="clear"/>
            <w:tcMar>
              <w:top w:type="dxa" w:w="100"/>
              <w:left w:type="dxa" w:w="120"/>
              <w:bottom w:type="dxa" w:w="100"/>
              <w:right w:type="dxa" w:w="120"/>
            </w:tcMar>
          </w:tcPr>
          <w:p>
            <w:r>
              <w:rPr>
                <w:b w:val="false"/>
                <w:bCs w:val="false"/>
                <w:color w:val="222222"/>
                <w:sz w:val="20"/>
                <w:szCs w:val="20"/>
              </w:rPr>
              <w:t xml:space="preserve">Observabilidad</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Monitoreo de métricas y alertas, registro centralizado de errores</w:t>
            </w:r>
          </w:p>
        </w:tc>
        <w:tc>
          <w:tcPr>
            <w:tcW w:type="dxa" w:w="3600"/>
            <w:shd w:fill="FFFFFF" w:val="clear"/>
            <w:tcMar>
              <w:top w:type="dxa" w:w="100"/>
              <w:left w:type="dxa" w:w="120"/>
              <w:bottom w:type="dxa" w:w="100"/>
              <w:right w:type="dxa" w:w="120"/>
            </w:tcMar>
          </w:tcPr>
          <w:p>
            <w:r>
              <w:rPr>
                <w:b w:val="false"/>
                <w:bCs w:val="false"/>
                <w:color w:val="222222"/>
                <w:sz w:val="20"/>
                <w:szCs w:val="20"/>
              </w:rPr>
              <w:t xml:space="preserve">Detección temprana de fallas antes de que afecten la atención clínica.</w:t>
            </w:r>
          </w:p>
        </w:tc>
      </w:tr>
      <w:tr>
        <w:tc>
          <w:tcPr>
            <w:tcW w:type="dxa" w:w="2200"/>
            <w:shd w:fill="F2F2F2" w:val="clear"/>
            <w:tcMar>
              <w:top w:type="dxa" w:w="100"/>
              <w:left w:type="dxa" w:w="120"/>
              <w:bottom w:type="dxa" w:w="100"/>
              <w:right w:type="dxa" w:w="120"/>
            </w:tcMar>
          </w:tcPr>
          <w:p>
            <w:r>
              <w:rPr>
                <w:b w:val="false"/>
                <w:bCs w:val="false"/>
                <w:color w:val="222222"/>
                <w:sz w:val="20"/>
                <w:szCs w:val="20"/>
              </w:rPr>
              <w:t xml:space="preserve">Reportería y BI</w:t>
            </w:r>
          </w:p>
        </w:tc>
        <w:tc>
          <w:tcPr>
            <w:tcW w:type="dxa" w:w="3600"/>
            <w:shd w:fill="F2F2F2" w:val="clear"/>
            <w:tcMar>
              <w:top w:type="dxa" w:w="100"/>
              <w:left w:type="dxa" w:w="120"/>
              <w:bottom w:type="dxa" w:w="100"/>
              <w:right w:type="dxa" w:w="120"/>
            </w:tcMar>
          </w:tcPr>
          <w:p>
            <w:r>
              <w:rPr>
                <w:b w:val="false"/>
                <w:bCs w:val="false"/>
                <w:color w:val="222222"/>
                <w:sz w:val="20"/>
                <w:szCs w:val="20"/>
              </w:rPr>
              <w:t xml:space="preserve">Módulo de exportación hacia Power BI / motor de reportes propio</w:t>
            </w:r>
          </w:p>
        </w:tc>
        <w:tc>
          <w:tcPr>
            <w:tcW w:type="dxa" w:w="3600"/>
            <w:shd w:fill="F2F2F2" w:val="clear"/>
            <w:tcMar>
              <w:top w:type="dxa" w:w="100"/>
              <w:left w:type="dxa" w:w="120"/>
              <w:bottom w:type="dxa" w:w="100"/>
              <w:right w:type="dxa" w:w="120"/>
            </w:tcMar>
          </w:tcPr>
          <w:p>
            <w:r>
              <w:rPr>
                <w:b w:val="false"/>
                <w:bCs w:val="false"/>
                <w:color w:val="222222"/>
                <w:sz w:val="20"/>
                <w:szCs w:val="20"/>
              </w:rPr>
              <w:t xml:space="preserve">Aprovecha la experiencia previa del proponente en Business Intelligence para automatizar reportes tipo REM/DEIS.</w:t>
            </w:r>
          </w:p>
        </w:tc>
      </w:tr>
    </w:tbl>
    <w:p>
      <w:pPr>
        <w:pStyle w:val="Heading1"/>
        <w:pBdr>
          <w:bottom w:val="single" w:color="1B3A5C" w:sz="6" w:space="4"/>
        </w:pBdr>
        <w:spacing w:after="200" w:before="400"/>
      </w:pPr>
      <w:r>
        <w:rPr>
          <w:b/>
          <w:bCs/>
          <w:color w:val="1B3A5C"/>
          <w:sz w:val="30"/>
          <w:szCs w:val="30"/>
        </w:rPr>
        <w:t xml:space="preserve">7. Seguridad y Cumplimiento Normativo</w:t>
      </w:r>
    </w:p>
    <w:p>
      <w:pPr>
        <w:spacing w:after="160" w:line="300"/>
      </w:pPr>
      <w:r>
        <w:rPr>
          <w:color w:val="222222"/>
          <w:sz w:val="21"/>
          <w:szCs w:val="21"/>
        </w:rPr>
        <w:t xml:space="preserve">Al tratarse de datos de salud, la solución se diseña para cumplir con el marco normativo chileno vigente y el que entrará en aplicación:</w:t>
      </w:r>
    </w:p>
    <w:p>
      <w:pPr>
        <w:pStyle w:val="ListParagraph"/>
        <w:numPr>
          <w:ilvl w:val="0"/>
          <w:numId w:val="2"/>
        </w:numPr>
        <w:spacing w:after="90" w:line="280"/>
      </w:pPr>
      <w:r>
        <w:rPr>
          <w:color w:val="222222"/>
          <w:sz w:val="21"/>
          <w:szCs w:val="21"/>
        </w:rPr>
        <w:t xml:space="preserve">Ley N.º 20.584, sobre derechos y deberes de los pacientes, que regula el tratamiento de la ficha clínica.</w:t>
      </w:r>
    </w:p>
    <w:p>
      <w:pPr>
        <w:pStyle w:val="ListParagraph"/>
        <w:numPr>
          <w:ilvl w:val="0"/>
          <w:numId w:val="2"/>
        </w:numPr>
        <w:spacing w:after="90" w:line="280"/>
      </w:pPr>
      <w:r>
        <w:rPr>
          <w:color w:val="222222"/>
          <w:sz w:val="21"/>
          <w:szCs w:val="21"/>
        </w:rPr>
        <w:t xml:space="preserve">Ley N.º 19.628 sobre protección de la vida privada, y su actualización mediante la Ley N.º 21.719 de protección de datos personales.</w:t>
      </w:r>
    </w:p>
    <w:p>
      <w:pPr>
        <w:pStyle w:val="ListParagraph"/>
        <w:numPr>
          <w:ilvl w:val="0"/>
          <w:numId w:val="2"/>
        </w:numPr>
        <w:spacing w:after="90" w:line="280"/>
      </w:pPr>
      <w:r>
        <w:rPr>
          <w:color w:val="222222"/>
          <w:sz w:val="21"/>
          <w:szCs w:val="21"/>
        </w:rPr>
        <w:t xml:space="preserve">Principios de interoperabilidad promovidos por el MINSAL para el intercambio de información clínica entre establecimientos.</w:t>
      </w:r>
    </w:p>
    <w:p>
      <w:pPr>
        <w:spacing w:after="160" w:line="300"/>
      </w:pPr>
      <w:r>
        <w:rPr>
          <w:color w:val="222222"/>
          <w:sz w:val="21"/>
          <w:szCs w:val="21"/>
        </w:rPr>
        <w:t xml:space="preserve">A nivel técnico, esto se traduce en cifrado extremo a extremo de la información clínica, control de acceso basado en roles (clínico, administrativo, auditor), registro inalterable de quién accede o modifica cada ficha, y políticas claras de respaldo y continuidad operativa.</w:t>
      </w:r>
    </w:p>
    <w:p>
      <w:pPr>
        <w:pStyle w:val="Heading1"/>
        <w:pBdr>
          <w:bottom w:val="single" w:color="1B3A5C" w:sz="6" w:space="4"/>
        </w:pBdr>
        <w:spacing w:after="200" w:before="400"/>
      </w:pPr>
      <w:r>
        <w:rPr>
          <w:b/>
          <w:bCs/>
          <w:color w:val="1B3A5C"/>
          <w:sz w:val="30"/>
          <w:szCs w:val="30"/>
        </w:rPr>
        <w:t xml:space="preserve">8. Estrategia de Integración con SinetSur</w:t>
      </w:r>
    </w:p>
    <w:p>
      <w:pPr>
        <w:spacing w:after="160" w:line="300"/>
      </w:pPr>
      <w:r>
        <w:rPr>
          <w:color w:val="222222"/>
          <w:sz w:val="21"/>
          <w:szCs w:val="21"/>
        </w:rPr>
        <w:t xml:space="preserve">Dado que SinetSur es un sistema interno desarrollado por el SSC y no cuenta actualmente con una API pública documentada, la integración se plantea en etapas, evitando que el proyecto dependa por completo de un acceso que aún debe gestionarse institucionalmente:</w:t>
      </w:r>
    </w:p>
    <w:p>
      <w:pPr>
        <w:pStyle w:val="ListParagraph"/>
        <w:numPr>
          <w:ilvl w:val="0"/>
          <w:numId w:val="2"/>
        </w:numPr>
        <w:spacing w:after="90" w:line="280"/>
      </w:pPr>
      <w:r>
        <w:rPr>
          <w:color w:val="222222"/>
          <w:sz w:val="21"/>
          <w:szCs w:val="21"/>
        </w:rPr>
        <w:t xml:space="preserve">Acercamiento formal con el Departamento de Tecnologías de la Información del Servicio de Salud Concepción, para explorar un convenio de colaboración e interoperabilidad.</w:t>
      </w:r>
    </w:p>
    <w:p>
      <w:pPr>
        <w:pStyle w:val="ListParagraph"/>
        <w:numPr>
          <w:ilvl w:val="0"/>
          <w:numId w:val="2"/>
        </w:numPr>
        <w:spacing w:after="90" w:line="280"/>
      </w:pPr>
      <w:r>
        <w:rPr>
          <w:color w:val="222222"/>
          <w:sz w:val="21"/>
          <w:szCs w:val="21"/>
        </w:rPr>
        <w:t xml:space="preserve">Definición conjunta de un contrato de datos: qué información se comparte (identificación de paciente, atenciones, diagnósticos odontológicos), en qué formato y con qué frecuencia.</w:t>
      </w:r>
    </w:p>
    <w:p>
      <w:pPr>
        <w:pStyle w:val="ListParagraph"/>
        <w:numPr>
          <w:ilvl w:val="0"/>
          <w:numId w:val="2"/>
        </w:numPr>
        <w:spacing w:after="90" w:line="280"/>
      </w:pPr>
      <w:r>
        <w:rPr>
          <w:color w:val="222222"/>
          <w:sz w:val="21"/>
          <w:szCs w:val="21"/>
        </w:rPr>
        <w:t xml:space="preserve">Construcción de un adaptador propio (capa de interoperabilidad) que traduzca los datos del asistente dental al formato que finalmente disponga SinetSur, sea mediante servicios web, HL7 FHIR u otro mecanismo que defina el SSC.</w:t>
      </w:r>
    </w:p>
    <w:p>
      <w:pPr>
        <w:pStyle w:val="ListParagraph"/>
        <w:numPr>
          <w:ilvl w:val="0"/>
          <w:numId w:val="2"/>
        </w:numPr>
        <w:spacing w:after="90" w:line="280"/>
      </w:pPr>
      <w:r>
        <w:rPr>
          <w:color w:val="222222"/>
          <w:sz w:val="21"/>
          <w:szCs w:val="21"/>
        </w:rPr>
        <w:t xml:space="preserve">Sincronización asíncrona y tolerante a fallas, de manera que una caída o mantención de SinetSur no interrumpa la atención dental.</w:t>
      </w:r>
    </w:p>
    <w:p>
      <w:pPr>
        <w:spacing w:after="160" w:line="300"/>
      </w:pPr>
      <w:r>
        <w:rPr>
          <w:color w:val="222222"/>
          <w:sz w:val="21"/>
          <w:szCs w:val="21"/>
        </w:rPr>
        <w:t xml:space="preserve">Esta estrategia permite comenzar a operar y generar valor de inmediato en modo independiente, mientras se avanza en paralelo la conversación institucional para la integración oficial.</w:t>
      </w:r>
    </w:p>
    <w:p>
      <w:pPr>
        <w:pStyle w:val="Heading1"/>
        <w:pBdr>
          <w:bottom w:val="single" w:color="1B3A5C" w:sz="6" w:space="4"/>
        </w:pBdr>
        <w:spacing w:after="200" w:before="400"/>
      </w:pPr>
      <w:r>
        <w:rPr>
          <w:b/>
          <w:bCs/>
          <w:color w:val="1B3A5C"/>
          <w:sz w:val="30"/>
          <w:szCs w:val="30"/>
        </w:rPr>
        <w:t xml:space="preserve">9. Plan de Implementación por Fases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400"/>
        <w:gridCol w:w="2000"/>
      </w:tblGrid>
      <w:tr>
        <w:trPr>
          <w:tblHeader/>
        </w:trPr>
        <w:tc>
          <w:tcPr>
            <w:tcW w:type="dxa" w:w="1400"/>
            <w:shd w:fill="1B3A5C" w:val="clear"/>
            <w:tcMar>
              <w:top w:type="dxa" w:w="100"/>
              <w:left w:type="dxa" w:w="120"/>
              <w:bottom w:type="dxa" w:w="100"/>
              <w:right w:type="dxa" w:w="120"/>
            </w:tcMar>
          </w:tcPr>
          <w:p>
            <w:r>
              <w:rPr>
                <w:b/>
                <w:bCs/>
                <w:color w:val="FFFFFF"/>
                <w:sz w:val="20"/>
                <w:szCs w:val="20"/>
              </w:rPr>
              <w:t xml:space="preserve">Fase</w:t>
            </w:r>
          </w:p>
        </w:tc>
        <w:tc>
          <w:tcPr>
            <w:tcW w:type="dxa" w:w="2600"/>
            <w:shd w:fill="1B3A5C" w:val="clear"/>
            <w:tcMar>
              <w:top w:type="dxa" w:w="100"/>
              <w:left w:type="dxa" w:w="120"/>
              <w:bottom w:type="dxa" w:w="100"/>
              <w:right w:type="dxa" w:w="120"/>
            </w:tcMar>
          </w:tcPr>
          <w:p>
            <w:r>
              <w:rPr>
                <w:b/>
                <w:bCs/>
                <w:color w:val="FFFFFF"/>
                <w:sz w:val="20"/>
                <w:szCs w:val="20"/>
              </w:rPr>
              <w:t xml:space="preserve">Objetivo</w:t>
            </w:r>
          </w:p>
        </w:tc>
        <w:tc>
          <w:tcPr>
            <w:tcW w:type="dxa" w:w="3400"/>
            <w:shd w:fill="1B3A5C" w:val="clear"/>
            <w:tcMar>
              <w:top w:type="dxa" w:w="100"/>
              <w:left w:type="dxa" w:w="120"/>
              <w:bottom w:type="dxa" w:w="100"/>
              <w:right w:type="dxa" w:w="120"/>
            </w:tcMar>
          </w:tcPr>
          <w:p>
            <w:r>
              <w:rPr>
                <w:b/>
                <w:bCs/>
                <w:color w:val="FFFFFF"/>
                <w:sz w:val="20"/>
                <w:szCs w:val="20"/>
              </w:rPr>
              <w:t xml:space="preserve">Entregables clave</w:t>
            </w:r>
          </w:p>
        </w:tc>
        <w:tc>
          <w:tcPr>
            <w:tcW w:type="dxa" w:w="2000"/>
            <w:shd w:fill="1B3A5C" w:val="clear"/>
            <w:tcMar>
              <w:top w:type="dxa" w:w="100"/>
              <w:left w:type="dxa" w:w="120"/>
              <w:bottom w:type="dxa" w:w="100"/>
              <w:right w:type="dxa" w:w="120"/>
            </w:tcMar>
          </w:tcPr>
          <w:p>
            <w:r>
              <w:rPr>
                <w:b/>
                <w:bCs/>
                <w:color w:val="FFFFFF"/>
                <w:sz w:val="20"/>
                <w:szCs w:val="20"/>
              </w:rPr>
              <w:t xml:space="preserve">Duración estimada</w:t>
            </w:r>
          </w:p>
        </w:tc>
      </w:tr>
      <w:tr>
        <w:tc>
          <w:tcPr>
            <w:tcW w:type="dxa" w:w="1400"/>
            <w:shd w:fill="FFFFFF" w:val="clear"/>
            <w:tcMar>
              <w:top w:type="dxa" w:w="100"/>
              <w:left w:type="dxa" w:w="120"/>
              <w:bottom w:type="dxa" w:w="100"/>
              <w:right w:type="dxa" w:w="120"/>
            </w:tcMar>
          </w:tcPr>
          <w:p>
            <w:r>
              <w:rPr>
                <w:b w:val="false"/>
                <w:bCs w:val="false"/>
                <w:color w:val="222222"/>
                <w:sz w:val="20"/>
                <w:szCs w:val="20"/>
              </w:rPr>
              <w:t xml:space="preserve">Fase 0</w:t>
            </w:r>
          </w:p>
        </w:tc>
        <w:tc>
          <w:tcPr>
            <w:tcW w:type="dxa" w:w="2600"/>
            <w:shd w:fill="FFFFFF" w:val="clear"/>
            <w:tcMar>
              <w:top w:type="dxa" w:w="100"/>
              <w:left w:type="dxa" w:w="120"/>
              <w:bottom w:type="dxa" w:w="100"/>
              <w:right w:type="dxa" w:w="120"/>
            </w:tcMar>
          </w:tcPr>
          <w:p>
            <w:r>
              <w:rPr>
                <w:b w:val="false"/>
                <w:bCs w:val="false"/>
                <w:color w:val="222222"/>
                <w:sz w:val="20"/>
                <w:szCs w:val="20"/>
              </w:rPr>
              <w:t xml:space="preserve">Descubrimiento y validación</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Levantamiento de requerimientos con equipo clínico dental; acercamiento inicial con SSC</w:t>
            </w:r>
          </w:p>
        </w:tc>
        <w:tc>
          <w:tcPr>
            <w:tcW w:type="dxa" w:w="2000"/>
            <w:shd w:fill="FFFFFF" w:val="clear"/>
            <w:tcMar>
              <w:top w:type="dxa" w:w="100"/>
              <w:left w:type="dxa" w:w="120"/>
              <w:bottom w:type="dxa" w:w="100"/>
              <w:right w:type="dxa" w:w="120"/>
            </w:tcMar>
          </w:tcPr>
          <w:p>
            <w:r>
              <w:rPr>
                <w:b w:val="false"/>
                <w:bCs w:val="false"/>
                <w:color w:val="222222"/>
                <w:sz w:val="20"/>
                <w:szCs w:val="20"/>
              </w:rPr>
              <w:t xml:space="preserve">3–4 semanas</w:t>
            </w:r>
          </w:p>
        </w:tc>
      </w:tr>
      <w:tr>
        <w:tc>
          <w:tcPr>
            <w:tcW w:type="dxa" w:w="1400"/>
            <w:shd w:fill="F2F2F2" w:val="clear"/>
            <w:tcMar>
              <w:top w:type="dxa" w:w="100"/>
              <w:left w:type="dxa" w:w="120"/>
              <w:bottom w:type="dxa" w:w="100"/>
              <w:right w:type="dxa" w:w="120"/>
            </w:tcMar>
          </w:tcPr>
          <w:p>
            <w:r>
              <w:rPr>
                <w:b w:val="false"/>
                <w:bCs w:val="false"/>
                <w:color w:val="222222"/>
                <w:sz w:val="20"/>
                <w:szCs w:val="20"/>
              </w:rPr>
              <w:t xml:space="preserve">Fase 1</w:t>
            </w:r>
          </w:p>
        </w:tc>
        <w:tc>
          <w:tcPr>
            <w:tcW w:type="dxa" w:w="2600"/>
            <w:shd w:fill="F2F2F2" w:val="clear"/>
            <w:tcMar>
              <w:top w:type="dxa" w:w="100"/>
              <w:left w:type="dxa" w:w="120"/>
              <w:bottom w:type="dxa" w:w="100"/>
              <w:right w:type="dxa" w:w="120"/>
            </w:tcMar>
          </w:tcPr>
          <w:p>
            <w:r>
              <w:rPr>
                <w:b w:val="false"/>
                <w:bCs w:val="false"/>
                <w:color w:val="222222"/>
                <w:sz w:val="20"/>
                <w:szCs w:val="20"/>
              </w:rPr>
              <w:t xml:space="preserve">MVP en modo independiente</w:t>
            </w:r>
          </w:p>
        </w:tc>
        <w:tc>
          <w:tcPr>
            <w:tcW w:type="dxa" w:w="3400"/>
            <w:shd w:fill="F2F2F2" w:val="clear"/>
            <w:tcMar>
              <w:top w:type="dxa" w:w="100"/>
              <w:left w:type="dxa" w:w="120"/>
              <w:bottom w:type="dxa" w:w="100"/>
              <w:right w:type="dxa" w:w="120"/>
            </w:tcMar>
          </w:tcPr>
          <w:p>
            <w:r>
              <w:rPr>
                <w:b w:val="false"/>
                <w:bCs w:val="false"/>
                <w:color w:val="222222"/>
                <w:sz w:val="20"/>
                <w:szCs w:val="20"/>
              </w:rPr>
              <w:t xml:space="preserve">Odontograma digital, ficha clínica, agenda de atención, primer piloto en una clínica o CESFAM</w:t>
            </w:r>
          </w:p>
        </w:tc>
        <w:tc>
          <w:tcPr>
            <w:tcW w:type="dxa" w:w="2000"/>
            <w:shd w:fill="F2F2F2" w:val="clear"/>
            <w:tcMar>
              <w:top w:type="dxa" w:w="100"/>
              <w:left w:type="dxa" w:w="120"/>
              <w:bottom w:type="dxa" w:w="100"/>
              <w:right w:type="dxa" w:w="120"/>
            </w:tcMar>
          </w:tcPr>
          <w:p>
            <w:r>
              <w:rPr>
                <w:b w:val="false"/>
                <w:bCs w:val="false"/>
                <w:color w:val="222222"/>
                <w:sz w:val="20"/>
                <w:szCs w:val="20"/>
              </w:rPr>
              <w:t xml:space="preserve">8–10 semanas</w:t>
            </w:r>
          </w:p>
        </w:tc>
      </w:tr>
      <w:tr>
        <w:tc>
          <w:tcPr>
            <w:tcW w:type="dxa" w:w="1400"/>
            <w:shd w:fill="FFFFFF" w:val="clear"/>
            <w:tcMar>
              <w:top w:type="dxa" w:w="100"/>
              <w:left w:type="dxa" w:w="120"/>
              <w:bottom w:type="dxa" w:w="100"/>
              <w:right w:type="dxa" w:w="120"/>
            </w:tcMar>
          </w:tcPr>
          <w:p>
            <w:r>
              <w:rPr>
                <w:b w:val="false"/>
                <w:bCs w:val="false"/>
                <w:color w:val="222222"/>
                <w:sz w:val="20"/>
                <w:szCs w:val="20"/>
              </w:rPr>
              <w:t xml:space="preserve">Fase 2</w:t>
            </w:r>
          </w:p>
        </w:tc>
        <w:tc>
          <w:tcPr>
            <w:tcW w:type="dxa" w:w="2600"/>
            <w:shd w:fill="FFFFFF" w:val="clear"/>
            <w:tcMar>
              <w:top w:type="dxa" w:w="100"/>
              <w:left w:type="dxa" w:w="120"/>
              <w:bottom w:type="dxa" w:w="100"/>
              <w:right w:type="dxa" w:w="120"/>
            </w:tcMar>
          </w:tcPr>
          <w:p>
            <w:r>
              <w:rPr>
                <w:b w:val="false"/>
                <w:bCs w:val="false"/>
                <w:color w:val="222222"/>
                <w:sz w:val="20"/>
                <w:szCs w:val="20"/>
              </w:rPr>
              <w:t xml:space="preserve">Reportería automatizada</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Módulo de generación de reportes tipo REM/DEIS a partir de los datos clínicos</w:t>
            </w:r>
          </w:p>
        </w:tc>
        <w:tc>
          <w:tcPr>
            <w:tcW w:type="dxa" w:w="2000"/>
            <w:shd w:fill="FFFFFF" w:val="clear"/>
            <w:tcMar>
              <w:top w:type="dxa" w:w="100"/>
              <w:left w:type="dxa" w:w="120"/>
              <w:bottom w:type="dxa" w:w="100"/>
              <w:right w:type="dxa" w:w="120"/>
            </w:tcMar>
          </w:tcPr>
          <w:p>
            <w:r>
              <w:rPr>
                <w:b w:val="false"/>
                <w:bCs w:val="false"/>
                <w:color w:val="222222"/>
                <w:sz w:val="20"/>
                <w:szCs w:val="20"/>
              </w:rPr>
              <w:t xml:space="preserve">4 semanas</w:t>
            </w:r>
          </w:p>
        </w:tc>
      </w:tr>
      <w:tr>
        <w:tc>
          <w:tcPr>
            <w:tcW w:type="dxa" w:w="1400"/>
            <w:shd w:fill="F2F2F2" w:val="clear"/>
            <w:tcMar>
              <w:top w:type="dxa" w:w="100"/>
              <w:left w:type="dxa" w:w="120"/>
              <w:bottom w:type="dxa" w:w="100"/>
              <w:right w:type="dxa" w:w="120"/>
            </w:tcMar>
          </w:tcPr>
          <w:p>
            <w:r>
              <w:rPr>
                <w:b w:val="false"/>
                <w:bCs w:val="false"/>
                <w:color w:val="222222"/>
                <w:sz w:val="20"/>
                <w:szCs w:val="20"/>
              </w:rPr>
              <w:t xml:space="preserve">Fase 3</w:t>
            </w:r>
          </w:p>
        </w:tc>
        <w:tc>
          <w:tcPr>
            <w:tcW w:type="dxa" w:w="2600"/>
            <w:shd w:fill="F2F2F2" w:val="clear"/>
            <w:tcMar>
              <w:top w:type="dxa" w:w="100"/>
              <w:left w:type="dxa" w:w="120"/>
              <w:bottom w:type="dxa" w:w="100"/>
              <w:right w:type="dxa" w:w="120"/>
            </w:tcMar>
          </w:tcPr>
          <w:p>
            <w:r>
              <w:rPr>
                <w:b w:val="false"/>
                <w:bCs w:val="false"/>
                <w:color w:val="222222"/>
                <w:sz w:val="20"/>
                <w:szCs w:val="20"/>
              </w:rPr>
              <w:t xml:space="preserve">Diseño de interoperabilidad</w:t>
            </w:r>
          </w:p>
        </w:tc>
        <w:tc>
          <w:tcPr>
            <w:tcW w:type="dxa" w:w="3400"/>
            <w:shd w:fill="F2F2F2" w:val="clear"/>
            <w:tcMar>
              <w:top w:type="dxa" w:w="100"/>
              <w:left w:type="dxa" w:w="120"/>
              <w:bottom w:type="dxa" w:w="100"/>
              <w:right w:type="dxa" w:w="120"/>
            </w:tcMar>
          </w:tcPr>
          <w:p>
            <w:r>
              <w:rPr>
                <w:b w:val="false"/>
                <w:bCs w:val="false"/>
                <w:color w:val="222222"/>
                <w:sz w:val="20"/>
                <w:szCs w:val="20"/>
              </w:rPr>
              <w:t xml:space="preserve">Adaptador HL7 FHIR construido y probado en ambiente de pruebas propio</w:t>
            </w:r>
          </w:p>
        </w:tc>
        <w:tc>
          <w:tcPr>
            <w:tcW w:type="dxa" w:w="2000"/>
            <w:shd w:fill="F2F2F2" w:val="clear"/>
            <w:tcMar>
              <w:top w:type="dxa" w:w="100"/>
              <w:left w:type="dxa" w:w="120"/>
              <w:bottom w:type="dxa" w:w="100"/>
              <w:right w:type="dxa" w:w="120"/>
            </w:tcMar>
          </w:tcPr>
          <w:p>
            <w:r>
              <w:rPr>
                <w:b w:val="false"/>
                <w:bCs w:val="false"/>
                <w:color w:val="222222"/>
                <w:sz w:val="20"/>
                <w:szCs w:val="20"/>
              </w:rPr>
              <w:t xml:space="preserve">6 semanas</w:t>
            </w:r>
          </w:p>
        </w:tc>
      </w:tr>
      <w:tr>
        <w:tc>
          <w:tcPr>
            <w:tcW w:type="dxa" w:w="1400"/>
            <w:shd w:fill="FFFFFF" w:val="clear"/>
            <w:tcMar>
              <w:top w:type="dxa" w:w="100"/>
              <w:left w:type="dxa" w:w="120"/>
              <w:bottom w:type="dxa" w:w="100"/>
              <w:right w:type="dxa" w:w="120"/>
            </w:tcMar>
          </w:tcPr>
          <w:p>
            <w:r>
              <w:rPr>
                <w:b w:val="false"/>
                <w:bCs w:val="false"/>
                <w:color w:val="222222"/>
                <w:sz w:val="20"/>
                <w:szCs w:val="20"/>
              </w:rPr>
              <w:t xml:space="preserve">Fase 4</w:t>
            </w:r>
          </w:p>
        </w:tc>
        <w:tc>
          <w:tcPr>
            <w:tcW w:type="dxa" w:w="2600"/>
            <w:shd w:fill="FFFFFF" w:val="clear"/>
            <w:tcMar>
              <w:top w:type="dxa" w:w="100"/>
              <w:left w:type="dxa" w:w="120"/>
              <w:bottom w:type="dxa" w:w="100"/>
              <w:right w:type="dxa" w:w="120"/>
            </w:tcMar>
          </w:tcPr>
          <w:p>
            <w:r>
              <w:rPr>
                <w:b w:val="false"/>
                <w:bCs w:val="false"/>
                <w:color w:val="222222"/>
                <w:sz w:val="20"/>
                <w:szCs w:val="20"/>
              </w:rPr>
              <w:t xml:space="preserve">Integración con SinetSur</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Piloto de sincronización real, sujeto a convenio firmado con el SSC</w:t>
            </w:r>
          </w:p>
        </w:tc>
        <w:tc>
          <w:tcPr>
            <w:tcW w:type="dxa" w:w="2000"/>
            <w:shd w:fill="FFFFFF" w:val="clear"/>
            <w:tcMar>
              <w:top w:type="dxa" w:w="100"/>
              <w:left w:type="dxa" w:w="120"/>
              <w:bottom w:type="dxa" w:w="100"/>
              <w:right w:type="dxa" w:w="120"/>
            </w:tcMar>
          </w:tcPr>
          <w:p>
            <w:r>
              <w:rPr>
                <w:b w:val="false"/>
                <w:bCs w:val="false"/>
                <w:color w:val="222222"/>
                <w:sz w:val="20"/>
                <w:szCs w:val="20"/>
              </w:rPr>
              <w:t xml:space="preserve">A definir con SSC</w:t>
            </w:r>
          </w:p>
        </w:tc>
      </w:tr>
      <w:tr>
        <w:tc>
          <w:tcPr>
            <w:tcW w:type="dxa" w:w="1400"/>
            <w:shd w:fill="F2F2F2" w:val="clear"/>
            <w:tcMar>
              <w:top w:type="dxa" w:w="100"/>
              <w:left w:type="dxa" w:w="120"/>
              <w:bottom w:type="dxa" w:w="100"/>
              <w:right w:type="dxa" w:w="120"/>
            </w:tcMar>
          </w:tcPr>
          <w:p>
            <w:r>
              <w:rPr>
                <w:b w:val="false"/>
                <w:bCs w:val="false"/>
                <w:color w:val="222222"/>
                <w:sz w:val="20"/>
                <w:szCs w:val="20"/>
              </w:rPr>
              <w:t xml:space="preserve">Fase 5</w:t>
            </w:r>
          </w:p>
        </w:tc>
        <w:tc>
          <w:tcPr>
            <w:tcW w:type="dxa" w:w="2600"/>
            <w:shd w:fill="F2F2F2" w:val="clear"/>
            <w:tcMar>
              <w:top w:type="dxa" w:w="100"/>
              <w:left w:type="dxa" w:w="120"/>
              <w:bottom w:type="dxa" w:w="100"/>
              <w:right w:type="dxa" w:w="120"/>
            </w:tcMar>
          </w:tcPr>
          <w:p>
            <w:r>
              <w:rPr>
                <w:b w:val="false"/>
                <w:bCs w:val="false"/>
                <w:color w:val="222222"/>
                <w:sz w:val="20"/>
                <w:szCs w:val="20"/>
              </w:rPr>
              <w:t xml:space="preserve">Escalamiento</w:t>
            </w:r>
          </w:p>
        </w:tc>
        <w:tc>
          <w:tcPr>
            <w:tcW w:type="dxa" w:w="3400"/>
            <w:shd w:fill="F2F2F2" w:val="clear"/>
            <w:tcMar>
              <w:top w:type="dxa" w:w="100"/>
              <w:left w:type="dxa" w:w="120"/>
              <w:bottom w:type="dxa" w:w="100"/>
              <w:right w:type="dxa" w:w="120"/>
            </w:tcMar>
          </w:tcPr>
          <w:p>
            <w:r>
              <w:rPr>
                <w:b w:val="false"/>
                <w:bCs w:val="false"/>
                <w:color w:val="222222"/>
                <w:sz w:val="20"/>
                <w:szCs w:val="20"/>
              </w:rPr>
              <w:t xml:space="preserve">Extensión a otros establecimientos públicos y privados de la red</w:t>
            </w:r>
          </w:p>
        </w:tc>
        <w:tc>
          <w:tcPr>
            <w:tcW w:type="dxa" w:w="2000"/>
            <w:shd w:fill="F2F2F2" w:val="clear"/>
            <w:tcMar>
              <w:top w:type="dxa" w:w="100"/>
              <w:left w:type="dxa" w:w="120"/>
              <w:bottom w:type="dxa" w:w="100"/>
              <w:right w:type="dxa" w:w="120"/>
            </w:tcMar>
          </w:tcPr>
          <w:p>
            <w:r>
              <w:rPr>
                <w:b w:val="false"/>
                <w:bCs w:val="false"/>
                <w:color w:val="222222"/>
                <w:sz w:val="20"/>
                <w:szCs w:val="20"/>
              </w:rPr>
              <w:t xml:space="preserve">Continuo</w:t>
            </w:r>
          </w:p>
        </w:tc>
      </w:tr>
    </w:tbl>
    <w:p>
      <w:pPr>
        <w:pStyle w:val="Heading1"/>
        <w:pBdr>
          <w:bottom w:val="single" w:color="1B3A5C" w:sz="6" w:space="4"/>
        </w:pBdr>
        <w:spacing w:after="200" w:before="400"/>
      </w:pPr>
      <w:r>
        <w:rPr>
          <w:b/>
          <w:bCs/>
          <w:color w:val="1B3A5C"/>
          <w:sz w:val="30"/>
          <w:szCs w:val="30"/>
        </w:rPr>
        <w:t xml:space="preserve">10. Equipo y Perfil del Proponente</w:t>
      </w:r>
    </w:p>
    <w:p>
      <w:pPr>
        <w:spacing w:after="160" w:line="300"/>
      </w:pPr>
      <w:r>
        <w:rPr>
          <w:color w:val="222222"/>
          <w:sz w:val="21"/>
          <w:szCs w:val="21"/>
        </w:rPr>
        <w:t xml:space="preserve">Milton Fabián Cartes Riquelme, Ingeniero de Ejecución en Computación e Informática, con más de 15 años de experiencia en Business Intelligence, Big Data, sistemas de control industrial y liderazgo de proyectos TI en los sectores financiero, industrial y público, incluyendo experiencia con entidades como JP Morgan Chase, Citibank, ATECI-ABB y ACCIS.</w:t>
      </w:r>
    </w:p>
    <w:p>
      <w:pPr>
        <w:spacing w:after="160" w:line="300"/>
      </w:pPr>
      <w:r>
        <w:rPr>
          <w:color w:val="222222"/>
          <w:sz w:val="21"/>
          <w:szCs w:val="21"/>
        </w:rPr>
        <w:t xml:space="preserve">El proponente cuenta además con experiencia directa en el dominio odontológico, habiendo desarrollado previamente una herramienta de carga periodontal asistida por voz (reconocimiento de voz en español chileno, odontograma en notación FDI y estadísticas clínicas en tiempo real), lo que constituye una base funcional ya validada para este proyecto.</w:t>
      </w:r>
    </w:p>
    <w:p>
      <w:pPr>
        <w:pStyle w:val="Heading1"/>
        <w:pBdr>
          <w:bottom w:val="single" w:color="1B3A5C" w:sz="6" w:space="4"/>
        </w:pBdr>
        <w:spacing w:after="200" w:before="400"/>
      </w:pPr>
      <w:r>
        <w:rPr>
          <w:b/>
          <w:bCs/>
          <w:color w:val="1B3A5C"/>
          <w:sz w:val="30"/>
          <w:szCs w:val="30"/>
        </w:rPr>
        <w:t xml:space="preserve">11. Próximos Pasos</w:t>
      </w:r>
    </w:p>
    <w:p>
      <w:pPr>
        <w:pStyle w:val="ListParagraph"/>
        <w:numPr>
          <w:ilvl w:val="0"/>
          <w:numId w:val="2"/>
        </w:numPr>
        <w:spacing w:after="90" w:line="280"/>
      </w:pPr>
      <w:r>
        <w:rPr>
          <w:color w:val="222222"/>
          <w:sz w:val="21"/>
          <w:szCs w:val="21"/>
        </w:rPr>
        <w:t xml:space="preserve">Validar y ajustar el alcance de esta propuesta con los actores clínicos y administrativos interesados.</w:t>
      </w:r>
    </w:p>
    <w:p>
      <w:pPr>
        <w:pStyle w:val="ListParagraph"/>
        <w:numPr>
          <w:ilvl w:val="0"/>
          <w:numId w:val="2"/>
        </w:numPr>
        <w:spacing w:after="90" w:line="280"/>
      </w:pPr>
      <w:r>
        <w:rPr>
          <w:color w:val="222222"/>
          <w:sz w:val="21"/>
          <w:szCs w:val="21"/>
        </w:rPr>
        <w:t xml:space="preserve">Definir el establecimiento o clínica piloto para el desarrollo del MVP en modo independiente.</w:t>
      </w:r>
    </w:p>
    <w:p>
      <w:pPr>
        <w:pStyle w:val="ListParagraph"/>
        <w:numPr>
          <w:ilvl w:val="0"/>
          <w:numId w:val="2"/>
        </w:numPr>
        <w:spacing w:after="90" w:line="280"/>
      </w:pPr>
      <w:r>
        <w:rPr>
          <w:color w:val="222222"/>
          <w:sz w:val="21"/>
          <w:szCs w:val="21"/>
        </w:rPr>
        <w:t xml:space="preserve">Iniciar el acercamiento formal con el Departamento de TI del Servicio de Salud Concepción para explorar la vía de integración con SinetSur.</w:t>
      </w:r>
    </w:p>
    <w:p>
      <w:pPr>
        <w:pStyle w:val="ListParagraph"/>
        <w:numPr>
          <w:ilvl w:val="0"/>
          <w:numId w:val="2"/>
        </w:numPr>
        <w:spacing w:after="90" w:line="280"/>
      </w:pPr>
      <w:r>
        <w:rPr>
          <w:color w:val="222222"/>
          <w:sz w:val="21"/>
          <w:szCs w:val="21"/>
        </w:rPr>
        <w:t xml:space="preserve">Acordar cronograma detallado y recursos necesarios para la Fase 0.</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2026-09-15T12:54:56.547Z</dcterms:created>
  <dcterms:modified xsi:type="dcterms:W3CDTF">2026-09-15T12:54:56.558Z</dcterms:modified>
</cp:coreProperties>
</file>

<file path=docProps/custom.xml><?xml version="1.0" encoding="utf-8"?>
<Properties xmlns="http://schemas.openxmlformats.org/officeDocument/2006/custom-properties" xmlns:vt="http://schemas.openxmlformats.org/officeDocument/2006/docPropsVTypes"/>
</file>