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0D2118"/>
          <w:sz w:val="96"/>
          <w:szCs w:val="96"/>
        </w:rPr>
        <w:t xml:space="preserve">MAIOMBE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Plataforma de Gestão de Carteira</w:t>
      </w:r>
    </w:p>
    <w:p>
      <w:pPr>
        <w:pBdr>
          <w:bottom w:val="single" w:color="C9A84C" w:sz="8" w:space="4"/>
        </w:pBdr>
        <w:spacing w:after="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MANUAL DO UTILIZADOR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Guia Técnico Completo com Capturas de Ecrã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Alpinea Investimentos  ·  Maiombe  ·  Luanda, Junho de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8C1A28"/>
          <w:sz w:val="18"/>
          <w:szCs w:val="18"/>
        </w:rPr>
        <w:t xml:space="preserve">Documento Confidencial — Uso Interno Restrito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18"/>
          <w:sz w:val="36"/>
          <w:szCs w:val="36"/>
        </w:rPr>
        <w:t xml:space="preserve">1. Introdução à Plataforma MAIOMBE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 MAIOMBE é uma plataforma digital de gestão integrada de carteira de crédito, desenvolvida para a Alpinea Investimentos e a sua operação de financiamento civil. Cobre todo o ciclo operacional: captação de recursos, formalização contratual, desembolso, monitorização de projectos, cobrança e recuperação de crédito.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presente manual destina-se aos técnicos, gestores e directores que trabalham diariamente com o sistema. Cada módulo é explicado com detalhe funcional, fluxo de trabalho e captura de ecrã real da plataforma.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1.1. Estrutura da Interface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 interface está dividida em três zonas permanentes: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Barra Lateral (Sidebar) — coluna esquerda com 15 módulos organizados em 5 categorias. Clique em qualquer item para navegar.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Barra Superior (Topbar) — mostra o módulo activo, o caminho de navegação e os botões de acção rápida.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Área de Conteúdo — zona central que muda conforme o módulo seleccionado.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1.2. Como Navegar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Clique num item do menu lateral para abrir o respectivo módulo.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os separadores de acesso rápido (tab bar) no topo da área de conteúdo para filtros rápidos dentro de cada módulo.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botão '+ Nova Operação' no topo dirige sempre para o módulo de Elaboração de Contratos.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ícone de campainha abre os alertas activos.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Interface geral da plataforma — Dashboard Executivo com barra lateral, topbar e área de conteúdo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01 — Dashboard Executivo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Núcleo Operacional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Centro de controlo principal da plataforma. Apresenta, numa única vista, todos os indicadores críticos da carteira: capital captado e aplicado, crédito vencido, rentabilidade, alertas ativos e cronograma de amortizações. É o ecrã que o Director Executivo e o Gestor de Carteira consultam diariamente.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KPIs Primários (4 cartões no topo)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Capital Captado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Total de recursos financeiros captados de todas as fontes activas. Inclui linhas bancárias, capital dos acionistas, debêntures e parcerias. Valor actual: 47,8 Mil M Kz.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Capital Aplicado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Montante do capital captado que foi efectivamente desembolsado para financiamentos activos. Valor: 39,2 Mil M Kz. Taxa de utilização: 82%.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Crédito Vencido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Total de prestações em incumprimento após a data de vencimento. Indica o volume de carteira problemática. Valor: 3,1 Mil M Kz. NPL Ratio: 7,9%.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Rentabilidade Líquida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Retorno líquido sobre o capital aplicado, após custos de financiamento e operação. Actual: 14,2%. Meta interna: 12%.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KPIs primários e gráfico de evolução da carteira 2025–2026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KPIs Secundários (segunda linha de 6 cartões)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Contratos — número total de contratos activos (24). Permite ao gestor monitorizar o volume de operações abertas.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Clientes — total de entidades cadastradas (67), dos quais 18 são entidades públicas.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Taxa de Recuperação — percentagem de crédito vencido que foi efectivamente recuperado no período (92,1%).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Garantias — número de instrumentos de garantia activos (31) e o índice de cobertura médio (118%).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Vencimentos 30 dias — contratos com prestação a vencer nos próximos 30 dias (6), dos quais 2 em situação de risco.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Health Score — pontuação global de saúde da carteira de 0 a 100 (actual: 72 — risco médio-baixo).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Gráficos de Evolução e Composição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gráfico de linhas à esquerda mostra a evolução mensal do Capital Aplicado, Capital Captado e Crédito Vencido ao longo de 13 meses. O gráfico donut à direita mostra a composição actual da carteira: Em Curso, A Vencer, Vencido e Liquidado.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Matriz de risco, fontes de financiamento e feed de alertas activos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Matriz de Risco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Quatro células coloridas que distribuem os contratos por nível de risco. A célula 'Risco Crítico' apresenta animação de pulsação permanente para chamar atenção imediata.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Cronograma de Amortizações 2026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Grelha de 12 meses com o valor total de prestações a receber em cada mês do ano, com código de cor: Verde = Recebido, Dourado = Em Curso, Vermelho = Risco, Cinza = Previsto.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Tabela de contratos activos com estado de execução e meios de reembolso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Cronograma consolidado de amortizações 2026 — 12 meses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02 — Elaboração de Contratos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Núcleo Operacional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para criação de contratos de financiamento. O utilizador preenche as condições particulares através de um formulário intuitivo e a minuta do contrato é gerada automaticamente em tempo real no painel direito. Existem três modelos de contrato pré-configurados com as condições gerais do Direito Civil Angolano.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Três Modelos de Contrato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Modelo A — Financiamento Público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entidades do Estado: Governo Central, Ministérios, Governos Provinciais, Administrações Municipais e Empresas Públicas. Inclui cláusulas específicas para pagamento em Obrigações do Tesouro (OT) ou Bilhetes do Tesouro (BT).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Modelo B — Empréstimo a Privado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empresas privadas (LDA, SA, Unipessoal) e particulares (pessoas singulares). Reembolso em numerário. Condições de taxa e prazo totalmente negociáveis entre as partes.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Modelo C — Financiamento de Projecto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projectos com múltiplos desembolsos faseados. Cada fase tem uma condição de libertação (ex.: vistoria aprovada, percentagem de obra concluída). Adequado a obras, infraestrutura e PPP.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Como preencher o formulário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Secção I — Identificação das Partes: preencha o nome e NIF do Mutuário, tipo de entidade, representante legal, morada e foro competente.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Secção II — Condições Financeiras: valor do mútuo (em algarismos e por extenso), taxa de juro, prazo, periodicidade das prestações, data de celebração, período de carência e juro de mora.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Secção III — Meios de Reembolso: selecção múltipla dos meios aceites (OT, BT, numerário, transferência, dação, etc.). Para entidades públicas, configure o desconto máximo aceite nas 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Secção IV — Garantias: seleccione o tipo de garantia principal e secundária. O sistema alerta automaticamente 30 dias antes do vencimento de qualquer garantia.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Secção V — Fases (apenas Modelo C): adicione as fases de desembolso com percentagem, data e condição de libertação.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Pré-visualização da Minuta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No painel direito, a minuta do contrato é actualizada automaticamente à medida que o utilizador preenche o formulário. Os campos preenchidos aparecem a dourado itálico. A minuta inclui 11 cláusulas standard do Direito Civil Angolano.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Módulo de Elaboração de Contratos — formulário e pré-visualização da minuta em tempo real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03 — Gestão do Passivo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Gestão do Passivo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Gestão completa das obrigações financeiras da Maiombe perante os seus credores. Inclui planos de amortização detalhados (capital + juros por prestação), alertas de vencimento, controlo de penalidades, processos de renegociação e litígios. Permite balancear as projecções da carteira activa com as obrigações passivas.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O que é o Passivo?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passivo representa o dinheiro que a Maiombe captou para depois emprestar aos seus clientes. Inclui: linha de crédito do BFA, acordo de suprimentos com a Alpinea Investimentos, debêntures emitidas a investidores privados e co-financiamentos com parceiros estratégicos.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Indicadores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Total Passivo Financeiro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47,8 Mil M Kz — total de recursos captados de todas as fontes, em dívida da Maiombe.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Reembolsos 30 dias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2,30 Mil M Kz — total de prestações que a Maiombe tem de pagar às suas fontes nos próximos 30 dias.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Custo Médio do Passivo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14,8% a.a. — taxa média ponderada que a Maiombe paga às suas fontes de financiamento.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Margem Activo vs Passivo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Spread de +0,6 pp — diferença entre o que a Maiombe recebe dos clientes e o que paga às fontes. Deve ser sempre positivo.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Mapa de Amortizações — Como ler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Para cada fonte de financiamento, o sistema apresenta uma tabela com todas as prestações: número da prestação, data de vencimento, capital amortizado, juros devidos, prestação total e capital residual em dívida. A prestação corrente está destacada a dourado. As futuras estão marcadas como 'Futuro'.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Botões de Acção por Obrigação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📊 Mapa Completo — abre o plano de amortização total até ao fim do contrato.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✏️ Renegociar — regista um processo de renegociação de condições com a fonte de financiamento.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⚠️ Penalidade — regista uma penalidade ou multa aplicada pela fonte.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⚖️ Litígio — abre um processo de contencioso jurídico com a fonte.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Gráfico de Balanceamento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gráfico de barras mostra, por período, os reembolsos do passivo (vermelho) vs. as cobranças do activo (verde). Permite identificar meses de pressão de liquidez e planear antecipadamente.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Gestão do Passivo — KPIs e mapa de amortizações 2026–2028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Detalhe das obrigações por fonte com tabela de amortização completa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04 — Crédito Cedido — Clientes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Entidades &amp; Crédito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Gestão individual de cada empréstimo cedido aos clientes da Maiombe. Cada cliente tem um cartão próprio com o estado do seu crédito, o mapa completo de amortizações, e um sistema de alertas e emails automáticos de cobrança.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Cartões de Cliente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Cada cliente activo tem um cartão com: nome e tipo de entidade, número do contrato, taxa de juro, capital total, percentagem de execução, meio de reembolso configurado, próxima prestação, valor amortizado e saldo residual em dívida.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Mapa de Amortização Individual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Para cada contrato, o sistema gera uma tabela com todas as prestações futuras: número, data de vencimento, capital inicial do período, amortização de capital, juros, prestação total e capital residual. Pode ser exportado em PDF e enviado directamente ao cliente por email.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Sistema de Emails Automáticos de Cobrança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sistema envia emails automáticos ao cliente em momentos pré-configurados: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Alertas preventivos: 30, 15, 7, 3 e 1 dia antes do vencimento da prestação.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Alertas de incumprimento: D+1 (1.º aviso), D+7 (2.º aviso), D+15 (notificação formal), D+30 (pré-judicial).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Cópia automática: Director Financeiro e Jurídico da Maiombe.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sistema regista o estado de entrega e leitura de cada email, permitindo ao gestor saber exactamente quando o cliente tomou conhecimento da obrigação.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Crédito Cedido — cartões individuais de clientes com estado de cobrança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Mapa de amortização individual e configuração do sistema de emails automáticos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05 — Taxas, Juros &amp; Comissões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Núcleo Operacional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de definição e monitorização das taxas de juro, comissões e margens financeiras aplicadas pela Maiombe. Inclui tabela de taxas por tipo de mutuário, simulador de rentabilidade, análise de margens e tabela de comissões.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Tabela de Taxas por Tipo de Mutuário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 Maiombe define taxas diferenciadas consoante o perfil de risco do mutuário. A tabela apresenta, para cada tipo de entidade: taxa mínima (operações de menor risco), taxa base (caso padrão) e taxa máxima (operações de maior risco ou curto prazo).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Simulador de Rentabilidade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Permite calcular, antes de aprovar uma operação, os indicadores de rentabilidade esperados: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Juros + Comissões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Total de receitas geradas pela operação (juros do período + comissão de abertura + comissão de gestão).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Margem Líquida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Receitas totais menos o custo do passivo para o mesmo período.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TIR Efectiva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Taxa Interna de Rentabilidade, incluindo comissões, que representa o rendimento real da operação.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Spread Líquido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Diferença entre a taxa activa (cobrada ao cliente) e a taxa passiva (paga à fonte). Deve ser sempre positivo.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Tabela de Comissões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Comissão de Abertura (1,0%–2,5%)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Cobrada na data da assinatura do contrato, sobre o valor total do mútuo. Pode ser capitalizada no valor do financiamento.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Comissão de Gestão Anual (0,5%–2,0%)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Cobrada anualmente sobre o capital em dívida. Remunera o acompanhamento e monitorização do contrato.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Comissão de Imobilização (0,25%)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Cobrada mensalmente sobre o capital aprovado mas ainda não desembolsado. Desincentiva a paralisação dos fundos.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Comissão de Reestruturação (0,5%–1,5%)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Cobrada quando o contrato é renegociado. Cobre os custos jurídicos e administrativos da alteração.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Penalidade de Pré-pagamento (1,0%–3,0%)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Cobrada quando o mutuário paga antecipadamente. Compensa a perda de juros futuros.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Juros de Mora (0,05%/dia)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Acrescem automaticamente sobre qualquer prestação em atraso, desde a data de vencimento.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Módulo de Taxas, Juros &amp; Comissões — tabela de taxas e simulador de rentabilidade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06 — Títulos da Dívida Pública — OT &amp; BT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Entidades &amp; Crédito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As entidades do sector público angolano procedem frequentemente ao pagamento das suas obrigações mediante entrega de Obrigações do Tesouro (OT) ou Bilhetes do Tesouro (BT). Este módulo regista, avalia e controla todos os títulos recebidos, com critérios de aceitação configuráveis pela Maiombe.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O que são OT e BT?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OT — Obrigações do Tesouro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Títulos de dívida pública de médio e longo prazo (2 a 10 anos), emitidos pelo Ministério das Finanças de Angola. Têm um valor facial, uma taxa de juro (yield) e uma data de vencimento. A Maiombe aceita-os como forma de pagamento de prestações de clientes públicos, com desconto negociado.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BT — Bilhetes do Tesouro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Títulos de curto prazo (91, 182 ou 364 dias). São instrumentos de maior liquidez. Aceites ao valor de mercado determinado pelo BNA.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PAE 2025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Programa de Ajustamento Económico 2025 — documento de política económica angolana que autoriza o Estado a liquidar dívidas antigas (atrasados) mediante emissão de OT, ao abrigo do Dec. Presidencial n.º 54/25 e Dec. Executivo n.º 385/25.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Como registar um pagamento em OT/BT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Clicar em '+ Registar Entrega' no painel do módulo.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Indicar a série da OT/BT, o valor facial, a data de vencimento do título, a yield e o mutuário que efectuou a entrega.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sistema calcula automaticamente o desconto aplicado e o valor de crédito abatido no contrato.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estado fica 'Negociação' até confirmação pela Maiombe, passando depois a 'Aceite'.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Política de Aceitação — Configurável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 Maiombe define internamente os critérios de aceitação de OT/BT, nomeadamente: desconto máximo aceite (ex.: 15% sobre o valor facial), maturidade máxima das OT aceites (ex.: 5 anos), yield mínima exigida e percentagem mínima de cash por prestação.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Módulo de Títulos da Dívida Pública — carteira de OT/BT e política de aceitação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07 — Carteira de Crédito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Núcleo Operacional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Visão consolidada de todos os créditos concedidos pela Maiombe, com detalhe por estado (em curso, vencido, liquidado) e distribuição por tipo de entidade e sector económico.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Estados da Carteira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Em Cobrança Regular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32,1 Mil M Kz — contratos cujas prestações estão a ser pagas dentro dos prazos acordados (19 contratos).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Crédito Vencido (NPL)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3,1 Mil M Kz — contratos com prestações em atraso (3 contratos). O NPL Ratio é de 7,9%.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Crédito Liquidado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4,0 Mil M Kz — contratos totalmente reembolsados e encerrados (2 contratos).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Saldo Devedor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Coluna da tabela que indica o capital ainda em dívida por cada contrato.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Gráficos de Exposição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gráfico de barras horizontal mostra a exposição total por tipo de entidade (Ministérios, Governos Provinciais, etc.). O gráfico circular mostra a distribuição por sector económico (Saúde, Energia, Infraestrutura, Habitação, Educação). Permitem identificar concentrações de risco.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Carteira de Crédito — exposição por entidade e sector com tabela completa de contratos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08 — Gestão de Contratos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Núcleo Operacional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de controlo do ciclo de vida de todos os contratos: em formalização (pendentes de assinatura ou registo de garantia), em vigor e encerrados. Permite acompanhar o estado jurídico e documental de cada instrumento contratual.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Estados de Formalização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Aguarda assinatura do mutuário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 contrato foi gerado e enviado mas o mutuário ainda não assinou. O sistema alerta sobre o prazo limite.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Aguarda registo de garantia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 contrato foi assinado mas a garantia (ex.: hipoteca) ainda não foi registada no cartório. O desembolso fica suspenso.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Aguarda escritura pública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valores acima de UCF 3.000, o contrato exige escritura pública notarial antes de produzir efeitos.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Em Vigor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Contrato assinado, garantia registada e desembolso efectuado. Em execução normal.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Encerrado / Liquidado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Contrato totalmente quitado e arquivado.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Informação disponível por contrato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Referência interna (ex.: MAI-2026-024), data de celebração, partes e objecto do financiamento.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Valor financiado, prazo total e tipo de modelo utilizado (A, B ou C).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Garantia principal e estado do seu registo.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Tipo de assinatura: digital (realizada na plataforma) ou escritura pública (notarial).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Gestão de Contratos — contratos em formalização e histórico completo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09 — Gestão de Risco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Análise &amp; Risco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de análise e classificação do risco de crédito da carteira. O Motor de Análise de Risco avalia cada contrato segundo 6 indicadores ponderados e classifica-o em 4 níveis (Baixo, Médio, Alto, Crítico). Apresenta também o rating de cada tipo de entidade mutuária.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Rating por Tipo de Entidade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 Maiombe atribui um rating de crédito interno a cada categoria de mutuário, baseado na sua solvabilidade histórica e capacidade de pagamento: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A+ — Governo Central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Máxima solvabilidade. Garantia implícita do Estado. 3 contratos activos.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 — Ministérios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Alta fiabilidade. Respaldo do Orçamento Geral do Estado (OGE). 5 contratos.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B+ — Governos Provinciais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Boa capacidade, dependente de transferências do poder central. 8 contratos.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B- — Administrações Municipais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Capacidade limitada. Recursos próprios reduzidos. 3 contratos.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C+ — Empresas Públicas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Risco moderado-alto. Sujeitas a ingerência política. 3 contratos.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 — Empresas Privadas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Maior risco. Sem garantia pública. Dependentes do mercado. 2 contratos.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Indicadores de Scoring (6 critérios ponderados)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Histórico de Pagamento (peso 30%)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Principal indicador. Analisa o historial de pontualidade do mutuário em operações anteriores.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Situação Financeira (peso 25%)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Avalia a saúde financeira actual: receitas, dívidas existentes, cash flow.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Risco Político/Institucional (peso 20%)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Avalia a estabilidade do contexto político e institucional que envolve o mutuário.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Risco Contratual (peso 10%)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Avalia a qualidade das garantias e a solidez jurídica do contrato.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Risco de Execução (peso 10%)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Avalia a capacidade do projecto financiado de ser concluído no prazo previsto.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Risco de Liquidez (peso 5%)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Avalia se o mutuário tem liquidez imediata para honrar a próxima prestação.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Contratos em Vigilância Reforçada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Qualquer contrato com score abaixo de 5,0/10 entra na lista de vigilância reforçada, com acção recomendada e prazo definido. O sistema gera alertas automáticos quando o score se degrada.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Gestão de Risco — ratings por entidade, scoring detalhado e contratos em vigilância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10 — Garantias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Análise &amp; Risco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de registo, controlo e gestão de todos os instrumentos de garantia que cobrem a carteira de crédito. O índice de cobertura total é de 118% — o que significa que as garantias valem 18% mais do que o crédito em risco.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Tipos de Garantias Suportadas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Garantia Bancária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Documento emitido por um banco garantindo o pagamento à Maiombe se o mutuário falhar. Instrumento mais seguro e líquido.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Cessão de Receitas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Transferência antecipada para a Maiombe de receitas futuras do mutuário (ex.: receitas fiscais, dotações do OGE).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Hipoteca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Direito real sobre imóvel do mutuário. Requer registo no Cartório Notarial. Em caso de incumprimento, a Maiombe pode executar o imóvel.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Penhor de Equipamentos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Direito sobre bens móveis (veículos, maquinaria). Mais difícil de executar do que hipoteca.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Consignação de Dotação OGE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Para entidades públicas: bloqueio de verba no Orçamento Geral do Estado em favor da Maiombe.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Aval / Fiança Pessoal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Garantia pessoal de sócio ou administrador. Responde com o seu patrimônio pessoal.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Alertas de Renovação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 sistema emite alertas automáticos 30 dias antes da expiração de qualquer instrumento de garantia. O responsável deve tratar da renovação dentro desse prazo para manter a cobertura garantida.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Índice de Cobertura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Para cada garantia, o sistema calcula o rácio entre o valor da garantia e o saldo devedor do contrato. Um índice de 100% significa cobertura total. A Maiombe exige um mínimo de 110% como margem de segurança.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Gestão de Garantias — tipos, índices de cobertura e registo detalhado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11 — Cobrança &amp; Recuperação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Análise &amp; Risco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de gestão de todo o processo de recebimento de prestações e recuperação de crédito vencido, desde alertas preventivos até à acção judicial coerciva.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Fases do Processo de Cobrança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Cobrança Preventiva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Alertas automáticos enviados 30, 15, 7, 3 e 1 dia antes do vencimento. O objectivo é assegurar que o cliente está preparado.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Cobrança Regular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prestação é debitada/recebida na data acordada. O sistema regista o pagamento e actualiza o saldo devedor.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Cobrança Amigável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Activada após o vencimento. Inclui emails, chamadas e negociação de acordo de pagamento faseado. O sistema regista cada contacto.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Cobrança Coerciva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Última fase. Envolve notificação judicial, execução de garantias e acção no Tribunal Provincial. Requer aprovação do Director.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Calendário de Vencimentos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Tabela com todas as prestações a receber nos próximos períodos, com: data de vencimento, contrato, mutuário, valor total da prestação, divisão entre capital e juros, fase de cobrança activa e número de contactos já realizados.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Histórico de Recuperação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Gráfico mensal que mostra o total recuperado em cada mês do ano, permitindo avaliar a eficácia do processo de cobrança ao longo do tempo.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Cobrança &amp; Recuperação — calendário de vencimentos e histórico mensal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12 — Fontes de Financiamento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Gestão do Passivo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Visão consolidada de todas as fontes que a Maiombe utiliza para captar os recursos que depois empresta aos seus clientes. Distingue entre linhas bancárias (passivo bancário), capital próprio dos acionistas e investidores privados.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Linhas de Crédito Bancárias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Para cada linha bancária, o sistema mostra: banco, produto/linha, valor total aprovado, percentagem utilizada, montante disponível, taxa de juro, data de vencimento e garantia prestada pela Maiombe ao banco. A barra de utilização permite visualizar rapidamente quantas linhas estão próximas do limite.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Capital Próprio e Terceiros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Apresenta as fontes não bancárias: acordo de suprimentos dos acionistas (Alpinea Investimentos), debêntures emitidas a investidores privados (com taxa, data de cupão e garantia) e co-financiamentos com parceiros estratégicos. Para cada fonte, indica o valor em dívida, a percentagem do total captado e as condições de reembolso.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Fontes de Financiamento — linhas bancárias e capital de acionistas e investidores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13 — Projectos Financiados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Entidades &amp; Crédito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de acompanhamento dos projectos de investimento que são financiados pelos contratos da Maiombe. Permite monitorizar a execução física de cada projecto, identificar desvios e garantir que o financiamento está a ser aplicado conforme previsto.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Informação por Projecto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Designação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Nome oficial do projecto de investimento financiado.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Entidade Executora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empresa ou entidade que implementa fisicamente o projecto (pode ser diferente do mutuário).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Entidade Beneficiária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Quem recebe os benefícios do projecto (população, instituição pública, empresa).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Província e município onde o projecto é executado.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Sector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Área de actividade: saúde, energia, infraestrutura, habitação ou educação.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Valor Global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 total do investimento, incluindo partes não financiadas pela Maiombe.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Valor Financiado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Parcela do investimento coberta pelo contrato de financiamento da Maiombe.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% de Execução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Percentagem do projecto já concluída, actualizada após cada vistoria ou relatório de progresso.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 execução, em arranque ou com desvios (atrasos ou problemas técnicos identificados).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Projectos Financiados — detalhe por projecto com localização, sector e % de execução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14 — Alertas &amp; Notificações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Inteligência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Centro de notificações da plataforma. Agrega todos os alertas gerados automaticamente pelo sistema, classificados por grau de urgência. Cada alerta tem botões de acção directa para resolução.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Classificação dos Alertas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Urgente (vermelho pulsante)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Requer acção imediata. Ex.: prestação a vencer em menos de 3 dias, incumprimento confirmado, prazo de contrato a caducar.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Atenção (âmbar)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Requer monitorização activa. Ex.: garantia a expirar, score de risco degradado, OT recebidas em análise.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Informação (azul)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Sem urgência. Ex.: novo financiamento aprovado, contrato assinado com sucesso.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Positivo (verde)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Confirmação de acção bem-sucedida. Ex.: liquidação recebida, contrato encerrado.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Botões de Acção em Cada Alerta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Cada alerta tem botões contextuais que permitem agir directamente sem sair do módulo: registar contacto, escalar para o Jurídico, iniciar cobrança coerciva, prorrogar prazo, contactar mutuário, entre outros.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Alertas &amp; Notificações — centro de notificações com 9 alertas activos e botões de acção</w:t>
      </w:r>
    </w:p>
    <w:p>
      <w:r>
        <w:br w:type="page"/>
      </w:r>
    </w:p>
    <w:p>
      <w:pPr>
        <w:pBdr>
          <w:left w:val="thick" w:color="C9A84C" w:sz="24" w:space="4"/>
        </w:pBdr>
        <w:shd w:fill="0D2118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Módulo 15 — Business Intelligence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2118"/>
          <w:sz w:val="20"/>
          <w:szCs w:val="20"/>
        </w:rPr>
        <w:t xml:space="preserve">Categoria: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Inteligência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Módulo de análise avançada com gráficos preditivos e tabela de performance de indicadores-chave. Fornece ao Director Financeiro e ao Director Executivo uma visão prospectiva e comparativa da carteira.</w:t>
      </w:r>
    </w:p>
    <w:p>
      <w:pPr>
        <w:pBdr>
          <w:bottom w:val="single" w:color="C9A84C" w:sz="4" w:space="1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Gráficos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Fluxo de Caixa Líquido (6 meses)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Barras agrupadas por mês: entradas (prestações a receber) a verde vs. saídas (reembolsos do passivo) a vermelho. Identifica meses de pressão de liquidez.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Exposição por Sector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Gráfico de pizza com a distribuição do crédito concedido por sector económico (saúde, energia, infraestrutura, habitação, educação).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Evolução do NPL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Linha mensal do rácio de crédito malparado (Jan a Jun), comparada com a meta de 6%. Tendência ascendente é sinal de alerta.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Tabela de KPIs com Sparklines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Tabela de 6 indicadores estratégicos, cada um com: valor actual, meta, variação face à meta, mini-gráfico de tendência (sparkline dos últimos 5 períodos) e classificação por semáforo (Óptimo, Atenção, Crítico, Elevado).</w:t>
      </w:r>
    </w:p>
    <w:p>
      <w:pPr>
        <w:spacing w:after="60" w:before="120"/>
        <w:jc w:val="center"/>
      </w:pPr>
      <w:r>
        <w:drawing>
          <wp:inline distT="0" distB="0" distL="0" distR="0">
            <wp:extent cx="7048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Figura — Business Intelligence — gráficos preditivos e tabela de KPIs com sparklines de tendência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18"/>
          <w:sz w:val="36"/>
          <w:szCs w:val="36"/>
        </w:rPr>
        <w:t xml:space="preserve">2. Glossário Completo de Abreviações e Siglas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2.1. Indicadores e Métricas Financeiras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Completo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e Explicação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Key Performance Indicator — Indicador-Chave de Desempenho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Métrica numérica que mede o desempenho da carteira. Ex.: Taxa de Recuperação, NPL Ratio, Spread.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NPL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Non-Performing Loan — Crédito Malparado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Crédito em incumprimento. NPL Ratio = (Crédito Vencido / Total Carteira) × 100. Meta interna: ≤ 6%.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NPL Ratio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Rácio de Crédito Malparado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Percentagem do crédito total em incumprimento. Actual: 7,9% (acima da meta de 6%).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RoP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Return on Portfolio — Retorno sobre a Carteira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Rentabilidade líquida sobre o capital total aplicado. Actual: 14,2%. Meta: 12%.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TIR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Taxa Interna de Rentabilidade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Taxa que iguala o valor actual dos fluxos de recebimento ao capital investido. Mede o rendimento real da operação.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Spread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Margem de Intermediação Financeira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Diferença entre a taxa cobrada ao mutuário e o custo de financiamento da Maiombe. Spread médio: +0,6 pp.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Pontos Percentuais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Unidade de medida de variação entre percentagens. Subir de 12% para 14% = +2 pp (não 2%).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a.a.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Ao Ano (per annum)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Frequência de cálculo da taxa de juro. Ex.: 14,5% a.a. = taxa calculada por ano.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Pontuação de Saúde da Carteira (0–100)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Score global que agrega todos os indicadores. Actual: 72. Abaixo de 60 = alerta de gestão.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2.2. Moeda, Instrumentos Financeiros e Títulos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Completo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e Explicação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Kz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Kwanza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Moeda oficial de Angola (código ISO: AOA). Usada em todos os valores monetários da plataforma.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Mil M Kz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Mil Milhões de Kwanzas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Unidade de escala: 1 Mil M Kz = 1.000.000.000 Kz. Usada nos KPIs do Dashboard.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M Kz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Milhões de Kwanzas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Unidade de escala: 1 M Kz = 1.000.000 Kz. Usada nos gráficos.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UCF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Unidade de Conta Fiscal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Unidade de referência para limiares legais em Angola. O Art.º 1143.º CC exige escritura pública para mútuos acima de UCF 3.000.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Obrigações do Tesouro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Títulos de dívida pública de médio e longo prazo (2–10 anos) emitidos pelo Ministério das Finanças de Angola.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BT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Bilhetes do Tesouro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Títulos de dívida pública de curto prazo (91, 182 ou 364 dias). Maior liquidez que as 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OGE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Orçamento Geral do Estado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Documento que define as receitas e despesas do Estado angolano para cada ano. Base para consignações de dotação como garantia.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PAE 2025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Programa de Ajustamento Económico 2025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Plano económico que prevê a regularização de atrasados do Estado angolano através de emissão de 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Dec. Pres.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Decreto Presidencial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Diploma legal assinado pelo Presidente de Angola. Ex.: Dec. Pres. n.º 54/25.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Dec. Exec.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Decreto Executivo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Diploma legal assinado por um Ministro. Ex.: Dec. Exec. n.º 385/25 de 17 de Abril.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2.3. Entidades, Tipos e Classificações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Completo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e Explicação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BFA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Banco de Fomento Angola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Principal fonte de financiamento bancário da Maiombe. Linha activa de 20.000 M Kz a 14,5% a.a.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BAI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Banco Angolano de Investimentos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Segunda fonte bancária. Crédito sindicado de 8.500 M Kz a 15,2% a.a.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BPC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Banco de Poupança e Crédito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Terceira linha bancária. Linha especial de 5.200 M Kz a 13,5% a.a.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BNA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Banco Nacional de Angola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Banco central e regulador do sistema financeiro angolano. Publica as taxas de referência (TBC, Luibor).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TBC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Taxa Básica de Crédito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Taxa de referência do BNA, usada como indexante de algumas taxas variáveis.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Luibor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Luanda Interbank Offered 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Taxa interbancária de referência angolana, equivalente à Euribor europeia.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Gov. Central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Governo Central / Executivo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Poder executivo central de Angola. Rating interno: A+.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Gov. Prov.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Governo Provincial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Administração de uma das 18 províncias angolanas. Rating: B+.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Adm. Mun.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Administração Municipal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Órgão de administração local ao nível de município. Rating: B-.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E.P.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Empresa Pública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Empresa detida pelo Estado angolano. Ex.: Empresa Nacional de Energia. Rating: C+.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LDA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Limitada (Sociedade por Quotas)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Forma societária angolana de responsabilidade limitada.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Sociedade Anónima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Forma societária angolana com capital dividido em acções.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NIF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Número de Identificação Fiscal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Identificador fiscal único de cada entidade, emitido pela AGT.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AGT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Administração Geral Tributária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Entidade fiscal angolana responsável pela atribuição e controlo dos NIFs.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PPP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Parceria Público-Privada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Modelo de financiamento em que o Estado e privados partilham riscos e benefícios de um projecto.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2.4. Termos Jurídicos e Contratuais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Completo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e Explicação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CC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Código Civil Angolano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Diploma legal que regula os contratos civis em Angola (Dec.-Lei n.º 47344/66 e suas alterações).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Mútuo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Contrato de Mútuo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Contrato pelo qual a Maiombe (mutuante) entrega capital ao cliente (mutuário) com obrigação de devolução com juros.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Mutuante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Quem concede o financiamento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 Maiombe na qualidade de credor. Tem direito a receber capital + juros + comissões.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Mutuário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Quem recebe o financiamento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 entidade cliente que recebe o capital e se obriga a reembolsar segundo o plano de amortização.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Mora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Atraso no pagamento de prestação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Situação de incumprimento após a data de vencimento. Gera juros de mora (0,05%/dia) automaticamente.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Desembolso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Entrega do capital ao mutuário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Transferência do dinheiro para a conta do mutuário, após assinatura e registo da garantia.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Amortização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Reembolso parcial do capital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Componente da prestação que reduz o capital em dívida (distinta dos juros sobre esse capital).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Cessão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Cessão de Créditos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Transferência de um crédito do mutuário sobre terceiros para a Maiombe, como garantia.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Debênture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Título de Dívida Privada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Instrumento emitido pela Maiombe para captar recursos junto de investidores privados, com taxa e prazo definidos.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Foro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Tribunal competente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Tribunal escolhido pelas partes para resolução de litígios emergentes do contrato.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Novação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Extinção da obrigação por substituição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 entrega de OT/BT não implica novação — o mutuário continua responsável por qualquer diferença de valor.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MAI-AAAA-NNN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Código de Referência do Contrato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Formato interno: MAI = Maiombe · AAAA = ano · NNN = número sequencial. Ex.: MAI-2026-024.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2.5. Interface e Tecnologia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Completo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e Explicação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Painel de Controlo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Ecrã inicial com todos os indicadores críticos da carteira numa única vista.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KPI 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Cartão de Indicador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Painel individual com um indicador-chave, valor actual, variação e barra de cor.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Pontuação de Saúde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Anel gráfico que mostra a saúde global da carteira (0–100). Visible no Dashboard.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Gráfico em Anel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Gráfico circular com buraco central. Usado para composição do crédito.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Sparkline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Mini-gráfico de Tendência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Série de 5 barras minúsculas numa célula da tabela BI que mostra a direcção do indicador.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NPL Badge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Etiqueta de Incumprimento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Badge vermelho na tabela de contratos indicando que o contrato está em situação de incumprimento.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Sidebar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Barra Lateral de Navegação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Coluna esquerda fixa com os 15 módulos, organizada em 5 categorias.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Topbar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Barra Superior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Barra horizontal fixa com título, breadcrumb e botões de acção global.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Breadcrumb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Caminho de Navegação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Texto 'MAIOMBE / Módulo' que mostra onde o utilizador está na plataforma.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Badge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Etiqueta Numérica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Pequeno círculo com número junto a um item de menu, indicando pendências.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Tooltip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Dica de Contexto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Caixa de texto ao passar o cursor sobre um elemento, com informação adicional.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5800"/>
                <w:sz w:val="20"/>
                <w:szCs w:val="20"/>
              </w:rPr>
              <w:t xml:space="preserve">v3.0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Versão 3.0 da Plataforma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Versão actual da plataforma MAIOMBE, entregue em Junho de 2026.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2118"/>
          <w:sz w:val="36"/>
          <w:szCs w:val="36"/>
        </w:rPr>
        <w:t xml:space="preserve">3. Notas para os Técnicos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3.1. Perfis de Utilizador e Permissões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Acesso total à plataforma. Gere utilizadores, configura parâmetros e tem permissão de escrita em todos os módulos.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Director Executivo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Leitura completa de todos os módulos. Sem permissão de edição. Acesso prioritário ao Dashboard e BI.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Director Financeiro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Acesso completo a Carteira, Passivo, Taxas, Fontes e Business Intelligence. Pode aprovar operações.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Gestor de Carteira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Cria e monitoriza contratos, regista pagamentos e gere o calendário de cobranças.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Analista de Risco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Acesso ao módulo de Risco e Garantias. Actualiza scorings e regista avaliações.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Jurídico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Acesso a Contratos, Garantias e Cobrança Coerciva. Gere processos de litígio.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Acesso de leitura a dados financeiros, planos de amortização e exportação de relatórios.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18"/>
                <w:sz w:val="20"/>
                <w:szCs w:val="20"/>
              </w:rPr>
              <w:t xml:space="preserve">Auditor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Leitura completa de todos os módulos, sem qualquer capacidade de edição ou eliminação.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2118"/>
          <w:sz w:val="26"/>
          <w:szCs w:val="26"/>
        </w:rPr>
        <w:t xml:space="preserve">3.2. Fluxo de Trabalho Standard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1. Identificar o cliente (Cadastro de Clientes) e verificar o seu rating de risco.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2. Criar o contrato (Elaboração de Contratos) com o modelo adequado e gerar a minuta.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3. Após assinatura, registar a garantia e efectuar o desembolso (Gestão de Contratos).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4. O contrato passa automaticamente para a Carteira de Crédito como 'Em Curso'.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5. Os alertas de cobrança são gerados automaticamente pelo sistema.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6. Registar os pagamentos recebidos (em cash ou OT/BT) em Crédito Clientes.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7. Monitorizar o risco em Gestão de Risco e actuar quando o score se degrada.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8. Consultar o BI e o Dashboard semanalmente para acompanhar a saúde global da carteira.</w:t>
      </w:r>
    </w:p>
    <w:p>
      <w:pPr>
        <w:pBdr>
          <w:bottom w:val="single" w:color="C9A84C" w:sz="4" w:space="1"/>
        </w:pBdr>
        <w:spacing w:after="100" w:before="100"/>
      </w:pP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Fim do Manual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MAIOMBE  ·  Plataforma de Gestão de Carteira  ·  v3.0  ·  Junho 2026</w:t>
      </w:r>
    </w:p>
    <w:p>
      <w:pPr>
        <w:jc w:val="center"/>
      </w:pPr>
      <w:r>
        <w:rPr>
          <w:rFonts w:ascii="Arial" w:cs="Arial" w:eastAsia="Arial" w:hAnsi="Arial"/>
          <w:color w:val="8C1A28"/>
          <w:sz w:val="16"/>
          <w:szCs w:val="16"/>
        </w:rPr>
        <w:t xml:space="preserve">Confidencial — Alpinea Investimentos — Uso Interno Restrito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2"/>
      </w:pBdr>
      <w:tabs>
        <w:tab w:val="right" w:pos="8758"/>
      </w:tabs>
      <w:spacing w:before="80"/>
    </w:pPr>
    <w:r>
      <w:rPr>
        <w:rFonts w:ascii="Arial" w:cs="Arial" w:eastAsia="Arial" w:hAnsi="Arial"/>
        <w:color w:val="4A5568"/>
        <w:sz w:val="18"/>
        <w:szCs w:val="18"/>
      </w:rPr>
      <w:t xml:space="preserve">Confidencial  ·  Alpinea Investimentos / Maiombe  ·  Uso Interno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Pág.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2"/>
      </w:pBdr>
      <w:tabs>
        <w:tab w:val="right" w:pos="8758"/>
      </w:tabs>
      <w:spacing w:after="100"/>
    </w:pPr>
    <w:r>
      <w:rPr>
        <w:rFonts w:ascii="Arial" w:cs="Arial" w:eastAsia="Arial" w:hAnsi="Arial"/>
        <w:b/>
        <w:bCs/>
        <w:color w:val="0D2118"/>
        <w:sz w:val="20"/>
        <w:szCs w:val="20"/>
      </w:rPr>
      <w:t xml:space="preserve">MAIOMBE</w:t>
    </w:r>
    <w:r>
      <w:rPr>
        <w:rFonts w:ascii="Arial" w:cs="Arial" w:eastAsia="Arial" w:hAnsi="Arial"/>
        <w:color w:val="4A5568"/>
        <w:sz w:val="18"/>
        <w:szCs w:val="18"/>
      </w:rPr>
      <w:t xml:space="preserve">  ·  Plataforma de Gestão de Carteira  ·  Manual do Utilizador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Versão 3.0  |  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9A84C"/>
      </w:r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21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21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9A8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53f78d807c1fee9ae9713fc4df209fe7cddf01.png"/><Relationship Id="rId10" Type="http://schemas.openxmlformats.org/officeDocument/2006/relationships/image" Target="media/e908caf93f6642e8ccb32323d75a5b8dadc7dcdc.png"/><Relationship Id="rId11" Type="http://schemas.openxmlformats.org/officeDocument/2006/relationships/image" Target="media/30f8deff060dbce17fcb2b2c5ddc98eef73123ec.png"/><Relationship Id="rId12" Type="http://schemas.openxmlformats.org/officeDocument/2006/relationships/image" Target="media/3895b09aec4195c940244cf66ac77ef5a0585133.png"/><Relationship Id="rId13" Type="http://schemas.openxmlformats.org/officeDocument/2006/relationships/image" Target="media/cf986c2b1dba3154cbe2df6fca28d239fe49dcce.png"/><Relationship Id="rId14" Type="http://schemas.openxmlformats.org/officeDocument/2006/relationships/image" Target="media/e190fd61110db29f266336be32e1027edd3c6b63.png"/><Relationship Id="rId15" Type="http://schemas.openxmlformats.org/officeDocument/2006/relationships/image" Target="media/51f30c57b14b74f26feb4d3ca66a3c8c94aba6c8.png"/><Relationship Id="rId16" Type="http://schemas.openxmlformats.org/officeDocument/2006/relationships/image" Target="media/d0d22c0f0b1db826f10d6da337496d7da3386a05.png"/><Relationship Id="rId17" Type="http://schemas.openxmlformats.org/officeDocument/2006/relationships/image" Target="media/6c30603939725561fe30a4a04b0d338637cdba1c.png"/><Relationship Id="rId18" Type="http://schemas.openxmlformats.org/officeDocument/2006/relationships/image" Target="media/9a216fc1ae4fcb8f9ceadced57995d487b9cfdc6.png"/><Relationship Id="rId19" Type="http://schemas.openxmlformats.org/officeDocument/2006/relationships/image" Target="media/e32266c605fa4ac7114bd36014aee10a439da722.png"/><Relationship Id="rId20" Type="http://schemas.openxmlformats.org/officeDocument/2006/relationships/image" Target="media/b71ed450c6063b55dc9972b2b62665efc94d28f5.png"/><Relationship Id="rId21" Type="http://schemas.openxmlformats.org/officeDocument/2006/relationships/image" Target="media/cf5336b3221858e7252ba2c1232893ad68f00d8c.png"/><Relationship Id="rId22" Type="http://schemas.openxmlformats.org/officeDocument/2006/relationships/image" Target="media/711a4f119d6e892eacac102f30acbaa499c590cf.png"/><Relationship Id="rId23" Type="http://schemas.openxmlformats.org/officeDocument/2006/relationships/image" Target="media/9083ea5e5f241cd2bc1c3d0d1ca12f6ff4ccd5c9.png"/><Relationship Id="rId24" Type="http://schemas.openxmlformats.org/officeDocument/2006/relationships/image" Target="media/7a8f399c69c71d28fc6ec32e449d59a3f47502c7.png"/><Relationship Id="rId25" Type="http://schemas.openxmlformats.org/officeDocument/2006/relationships/image" Target="media/50b6f3cf91a361c785941cb054c801e78a1d140e.png"/><Relationship Id="rId26" Type="http://schemas.openxmlformats.org/officeDocument/2006/relationships/image" Target="media/26f92ea194753f69e96a8030d641671237ca7224.png"/><Relationship Id="rId27" Type="http://schemas.openxmlformats.org/officeDocument/2006/relationships/image" Target="media/befbe840e6fad96f445024cdbaa93c55994d536a.png"/><Relationship Id="rId28" Type="http://schemas.openxmlformats.org/officeDocument/2006/relationships/image" Target="media/354a57aff6441711e6ecd384b86e2a19b04096da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2026-06-17T10:35:34.731Z</dcterms:created>
  <dcterms:modified xsi:type="dcterms:W3CDTF">2026-06-17T10:35:34.731Z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