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/>
          <w:b/>
          <w:i w:val="0"/>
          <w:color w:val="11557C"/>
          <w:sz w:val="40"/>
        </w:rPr>
        <w:t>AI-POWERED LEAD GENERATION STRATEGY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95959"/>
          <w:sz w:val="28"/>
        </w:rPr>
        <w:t>Prepared for MSBforSale.com</w:t>
      </w:r>
    </w:p>
    <w:p>
      <w:pPr>
        <w:spacing w:after="40"/>
        <w:jc w:val="center"/>
      </w:pPr>
      <w:r>
        <w:rPr>
          <w:rFonts w:ascii="Calibri" w:hAnsi="Calibri"/>
          <w:b w:val="0"/>
          <w:i/>
          <w:color w:val="969696"/>
          <w:sz w:val="20"/>
        </w:rPr>
        <w:t>February 2026  |  Confidential</w:t>
      </w:r>
    </w:p>
    <w:p>
      <w:pPr>
        <w:spacing w:before="80" w:after="80"/>
        <w:pBdr>
          <w:bottom w:val="single" w:sz="6" w:space="1" w:color="11557C"/>
        </w:pBdr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8"/>
        </w:rPr>
        <w:t>1. Executive Summary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MSBforSale.com is a globally positioned MSB licensing and compliance consultancy based in Limassol, Cyprus, with a track record since 2018. Operating across Canada, the US (Montana), Australia, and key European jurisdictions, the business serves a sophisticated B2B audience — fintech founders, crypto operators, iGaming companies, payment entrepreneurs, and corporate advisory firms who need licensed financial infrastructure fast.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The core challenge is that the ideal buyer is a very specific profile spread across specific geographies. Generic marketing doesn't reach them. This proposal outlines a targeted, AI-augmented lead generation programme built around the six buyer personas MSBforSale.com has already identified, using LinkedIn outreach, data enrichment, and intent-based content signals to deliver qualified prospects at scale.</w:t>
      </w:r>
    </w:p>
    <w:p>
      <w:pPr>
        <w:spacing w:before="80" w:after="80"/>
        <w:pBdr>
          <w:bottom w:val="single" w:sz="6" w:space="1" w:color="11557C"/>
        </w:pBdr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8"/>
        </w:rPr>
        <w:t>2. Understanding MSBforSale.com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4"/>
        </w:rPr>
        <w:t>What They Offer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Ready-Made MSBs: </w:t>
      </w:r>
      <w:r>
        <w:rPr>
          <w:rFonts w:ascii="Calibri" w:hAnsi="Calibri"/>
          <w:b w:val="0"/>
          <w:i w:val="0"/>
          <w:sz w:val="21"/>
        </w:rPr>
        <w:t>Canadian and Montana licensed entities available for immediate acquisition.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New Registrations: </w:t>
      </w:r>
      <w:r>
        <w:rPr>
          <w:rFonts w:ascii="Calibri" w:hAnsi="Calibri"/>
          <w:b w:val="0"/>
          <w:i w:val="0"/>
          <w:sz w:val="21"/>
        </w:rPr>
        <w:t>End-to-end MSB registration support across multiple jurisdictions.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Crypto Infrastructure: </w:t>
      </w:r>
      <w:r>
        <w:rPr>
          <w:rFonts w:ascii="Calibri" w:hAnsi="Calibri"/>
          <w:b w:val="0"/>
          <w:i w:val="0"/>
          <w:sz w:val="21"/>
        </w:rPr>
        <w:t>White-label Crypto Bank &amp; Processing platforms; B2Vault custody (via partnership).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Ancillary Services: </w:t>
      </w:r>
      <w:r>
        <w:rPr>
          <w:rFonts w:ascii="Calibri" w:hAnsi="Calibri"/>
          <w:b w:val="0"/>
          <w:i w:val="0"/>
          <w:sz w:val="21"/>
        </w:rPr>
        <w:t>Bank account opening, company formation (UK, Cyprus), AML/compliance advisory.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Expanded Coverage: </w:t>
      </w:r>
      <w:r>
        <w:rPr>
          <w:rFonts w:ascii="Calibri" w:hAnsi="Calibri"/>
          <w:b w:val="0"/>
          <w:i w:val="0"/>
          <w:sz w:val="21"/>
        </w:rPr>
        <w:t>Australian money remittance and crypto exchange licensing — newly launched.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4"/>
        </w:rPr>
        <w:t>Competitive Landscape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The primary referenced competitor is Advapay (advapay.eu) — a core banking software vendor and fintech consultancy with 100+ clients, 5 offices, and 50 staff. Advapay targets digital banks, e-wallets, crypto-fiat wallets, and e-commerce. Key differentiation for MSBforSale.com: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Speed-to-market: Ready-made MSBs vs. Advapay's build-from-scratch approach.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Regulatory focus: Pure-play licensing expertise vs. Advapay's software-first model.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High-risk verticals: Explicit comfort with iGaming, Forex, crypto — Advapay is more mainstream fintech.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Price point: Turnkey licensing acquisition is faster and often cheaper than a full software + licensing engagement.</w:t>
      </w:r>
    </w:p>
    <w:p>
      <w:pPr>
        <w:spacing w:before="80" w:after="80"/>
        <w:pBdr>
          <w:bottom w:val="single" w:sz="6" w:space="1" w:color="11557C"/>
        </w:pBdr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8"/>
        </w:rPr>
        <w:t>3. Target Audience Analysis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Based on the Target Audience document provided, MSBforSale.com has six well-defined buyer personas. These are our primary outreach segments:</w:t>
      </w:r>
    </w:p>
    <w:p>
      <w:pPr>
        <w:spacing w:before="160" w:after="40"/>
      </w:pPr>
      <w:r>
        <w:rPr>
          <w:rFonts w:ascii="Calibri" w:hAnsi="Calibri"/>
          <w:b/>
          <w:i w:val="0"/>
          <w:color w:val="1F497D"/>
          <w:sz w:val="22"/>
        </w:rPr>
        <w:t>1 — Fintech Startup Founder (Crypto / On-Ramp / Exchange)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Geographies: </w:t>
      </w:r>
      <w:r>
        <w:rPr>
          <w:rFonts w:ascii="Calibri" w:hAnsi="Calibri"/>
          <w:b w:val="0"/>
          <w:i w:val="0"/>
          <w:sz w:val="21"/>
        </w:rPr>
        <w:t>Poland, Ukraine, Estonia, Lithuania, UK, Cyprus, Dubai, India, Singapore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Key Titles: </w:t>
      </w:r>
      <w:r>
        <w:rPr>
          <w:rFonts w:ascii="Calibri" w:hAnsi="Calibri"/>
          <w:b w:val="0"/>
          <w:i w:val="0"/>
          <w:sz w:val="21"/>
        </w:rPr>
        <w:t>Founder, CEO, CTO, Head of Payments, Blockchain Entrepreneur, Head of Sales, COO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Pain Point: </w:t>
      </w:r>
      <w:r>
        <w:rPr>
          <w:rFonts w:ascii="Calibri" w:hAnsi="Calibri"/>
          <w:b w:val="0"/>
          <w:i w:val="0"/>
          <w:sz w:val="21"/>
        </w:rPr>
        <w:t>Needs fast regulatory cover to plug into banking/payment rails. Setting up MSB from scratch takes too long.</w:t>
      </w:r>
    </w:p>
    <w:p>
      <w:pPr>
        <w:spacing w:before="160" w:after="40"/>
      </w:pPr>
      <w:r>
        <w:rPr>
          <w:rFonts w:ascii="Calibri" w:hAnsi="Calibri"/>
          <w:b/>
          <w:i w:val="0"/>
          <w:color w:val="1F497D"/>
          <w:sz w:val="22"/>
        </w:rPr>
        <w:t>2 — iGaming &amp; Forex Operator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Geographies: </w:t>
      </w:r>
      <w:r>
        <w:rPr>
          <w:rFonts w:ascii="Calibri" w:hAnsi="Calibri"/>
          <w:b w:val="0"/>
          <w:i w:val="0"/>
          <w:sz w:val="21"/>
        </w:rPr>
        <w:t>Dubai, Cyprus, Malta, India, UK, Philippines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Key Titles: </w:t>
      </w:r>
      <w:r>
        <w:rPr>
          <w:rFonts w:ascii="Calibri" w:hAnsi="Calibri"/>
          <w:b w:val="0"/>
          <w:i w:val="0"/>
          <w:sz w:val="21"/>
        </w:rPr>
        <w:t>Managing Director, COO, Head of Operations, Payment Manager, Forex Broker, Gaming Operator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Pain Point: </w:t>
      </w:r>
      <w:r>
        <w:rPr>
          <w:rFonts w:ascii="Calibri" w:hAnsi="Calibri"/>
          <w:b w:val="0"/>
          <w:i w:val="0"/>
          <w:sz w:val="21"/>
        </w:rPr>
        <w:t>Wants control of payments, lower chargebacks, direct bank/payment accounts for high-risk business.</w:t>
      </w:r>
    </w:p>
    <w:p>
      <w:pPr>
        <w:spacing w:before="160" w:after="40"/>
      </w:pPr>
      <w:r>
        <w:rPr>
          <w:rFonts w:ascii="Calibri" w:hAnsi="Calibri"/>
          <w:b/>
          <w:i w:val="0"/>
          <w:color w:val="1F497D"/>
          <w:sz w:val="22"/>
        </w:rPr>
        <w:t>3 — Serial Payments Entrepreneur / ISO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Geographies: </w:t>
      </w:r>
      <w:r>
        <w:rPr>
          <w:rFonts w:ascii="Calibri" w:hAnsi="Calibri"/>
          <w:b w:val="0"/>
          <w:i w:val="0"/>
          <w:sz w:val="21"/>
        </w:rPr>
        <w:t>UK, Netherlands, Germany, Dubai, India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Key Titles: </w:t>
      </w:r>
      <w:r>
        <w:rPr>
          <w:rFonts w:ascii="Calibri" w:hAnsi="Calibri"/>
          <w:b w:val="0"/>
          <w:i w:val="0"/>
          <w:sz w:val="21"/>
        </w:rPr>
        <w:t>Founder, Payment Consultant, CEO at PSP, Business Development Payments, PSP Manager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Pain Point: </w:t>
      </w:r>
      <w:r>
        <w:rPr>
          <w:rFonts w:ascii="Calibri" w:hAnsi="Calibri"/>
          <w:b w:val="0"/>
          <w:i w:val="0"/>
          <w:sz w:val="21"/>
        </w:rPr>
        <w:t>Tired of acquirer dependency; wants to own an MSB to onboard merchants directly.</w:t>
      </w:r>
    </w:p>
    <w:p>
      <w:pPr>
        <w:spacing w:before="160" w:after="40"/>
      </w:pPr>
      <w:r>
        <w:rPr>
          <w:rFonts w:ascii="Calibri" w:hAnsi="Calibri"/>
          <w:b/>
          <w:i w:val="0"/>
          <w:color w:val="1F497D"/>
          <w:sz w:val="22"/>
        </w:rPr>
        <w:t>4 — Legal &amp; Compliance Advisors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Geographies: </w:t>
      </w:r>
      <w:r>
        <w:rPr>
          <w:rFonts w:ascii="Calibri" w:hAnsi="Calibri"/>
          <w:b w:val="0"/>
          <w:i w:val="0"/>
          <w:sz w:val="21"/>
        </w:rPr>
        <w:t>Dubai (DIFC/DMCC), Singapore, Hong Kong, India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Key Titles: </w:t>
      </w:r>
      <w:r>
        <w:rPr>
          <w:rFonts w:ascii="Calibri" w:hAnsi="Calibri"/>
          <w:b w:val="0"/>
          <w:i w:val="0"/>
          <w:sz w:val="21"/>
        </w:rPr>
        <w:t>Partner, Managing Associate, Head of Fintech, Regulatory/Financial Services Lawyer, AML/CTF Lawyer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Pain Point: </w:t>
      </w:r>
      <w:r>
        <w:rPr>
          <w:rFonts w:ascii="Calibri" w:hAnsi="Calibri"/>
          <w:b w:val="0"/>
          <w:i w:val="0"/>
          <w:sz w:val="21"/>
        </w:rPr>
        <w:t>Clients need fast-track regulatory solutions. They source pre-licensed entities for clients.</w:t>
      </w:r>
    </w:p>
    <w:p>
      <w:pPr>
        <w:spacing w:before="160" w:after="40"/>
      </w:pPr>
      <w:r>
        <w:rPr>
          <w:rFonts w:ascii="Calibri" w:hAnsi="Calibri"/>
          <w:b/>
          <w:i w:val="0"/>
          <w:color w:val="1F497D"/>
          <w:sz w:val="22"/>
        </w:rPr>
        <w:t>5 — M&amp;A Advisory Boutiques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Geographies: </w:t>
      </w:r>
      <w:r>
        <w:rPr>
          <w:rFonts w:ascii="Calibri" w:hAnsi="Calibri"/>
          <w:b w:val="0"/>
          <w:i w:val="0"/>
          <w:sz w:val="21"/>
        </w:rPr>
        <w:t>Singapore, Dubai, Hong Kong, India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Key Titles: </w:t>
      </w:r>
      <w:r>
        <w:rPr>
          <w:rFonts w:ascii="Calibri" w:hAnsi="Calibri"/>
          <w:b w:val="0"/>
          <w:i w:val="0"/>
          <w:sz w:val="21"/>
        </w:rPr>
        <w:t>Managing Partner, M&amp;A Advisor, Corporate Finance, Transaction Services, Fintech M&amp;A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Pain Point: </w:t>
      </w:r>
      <w:r>
        <w:rPr>
          <w:rFonts w:ascii="Calibri" w:hAnsi="Calibri"/>
          <w:b w:val="0"/>
          <w:i w:val="0"/>
          <w:sz w:val="21"/>
        </w:rPr>
        <w:t>Advise on licensing acquisitions; earn fees connecting buyers with turnkey licensed entities.</w:t>
      </w:r>
    </w:p>
    <w:p>
      <w:pPr>
        <w:spacing w:before="160" w:after="40"/>
      </w:pPr>
      <w:r>
        <w:rPr>
          <w:rFonts w:ascii="Calibri" w:hAnsi="Calibri"/>
          <w:b/>
          <w:i w:val="0"/>
          <w:color w:val="1F497D"/>
          <w:sz w:val="22"/>
        </w:rPr>
        <w:t>6 — Corporate Services / Company Formation Agents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Geographies: </w:t>
      </w:r>
      <w:r>
        <w:rPr>
          <w:rFonts w:ascii="Calibri" w:hAnsi="Calibri"/>
          <w:b w:val="0"/>
          <w:i w:val="0"/>
          <w:sz w:val="21"/>
        </w:rPr>
        <w:t>Dubai, Singapore, Hong Kong, India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Key Titles: </w:t>
      </w:r>
      <w:r>
        <w:rPr>
          <w:rFonts w:ascii="Calibri" w:hAnsi="Calibri"/>
          <w:b w:val="0"/>
          <w:i w:val="0"/>
          <w:sz w:val="21"/>
        </w:rPr>
        <w:t>Corporate Services, Company Formation, Company Secretary, Client Services Director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sz w:val="21"/>
        </w:rPr>
        <w:t xml:space="preserve">Pain Point: </w:t>
      </w:r>
      <w:r>
        <w:rPr>
          <w:rFonts w:ascii="Calibri" w:hAnsi="Calibri"/>
          <w:b w:val="0"/>
          <w:i w:val="0"/>
          <w:sz w:val="21"/>
        </w:rPr>
        <w:t>Clients need licensed infrastructure fast. They refer MSB providers and earn fees.</w:t>
      </w:r>
    </w:p>
    <w:p>
      <w:pPr>
        <w:spacing w:before="80" w:after="80"/>
        <w:pBdr>
          <w:bottom w:val="single" w:sz="6" w:space="1" w:color="11557C"/>
        </w:pBdr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8"/>
        </w:rPr>
        <w:t>4. Proposed Lead Generation Strategy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We propose a four-channel, AI-augmented outbound programme that maps each persona to the most efficient channel, enriches data automatically, and feeds a continuously optimised pipeline.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4"/>
        </w:rPr>
        <w:t>4.1  LinkedIn Outbound (Primary Channel)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LinkedIn is the highest-signal channel for all six personas. Titles, geographies, company sizes, and industries are all filterable — making it possible to build near-surgical prospect lists.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Sales Navigator searches built per persona with title + geography + company-size filters.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AI-personalised connection requests referencing the prospect's recent activity, posts, or company news.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3-touch message sequences: Connection → Value Message (MSB use-case specific) → Soft CTA.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A/B tested messaging per persona (iGaming tone ≠ M&amp;A Advisory tone).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Target: 500–1,000 outreach actions/month; expected 8–15% positive reply rate in this niche.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4"/>
        </w:rPr>
        <w:t>4.2  AI-Powered List Building &amp; Data Enrichment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Beyond LinkedIn we build verified prospect lists using multiple data layers: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Clay.com / Apollo / Hunter.io to find verified emails for each persona.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Conference &amp; event attendee scraping (SiGMA, iFX Expo, Money2020, Seamless) — these events attract all 6 personas.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Intent data signals: companies searching for 'MSB license', 'crypto licensing', 'FINTRAC registration'.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Newly incorporated fintech companies in target geos (Companies House, DIFC registry, ACRA Singapore).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AI enrichment layer: each prospect scored by fit vs. persona match before outreach.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4"/>
        </w:rPr>
        <w:t>4.3  Cold Email (Secondary Channel)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For personas 4–6 (advisors, M&amp;A boutiques, CSPs) who are harder to reach via LinkedIn cold messages: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Verified business email sequences via instantly.ai or lemlist.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Sequences reference specific pain points (e.g. 'clients stuck waiting 14 months for licensing').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Domain warm-up, deliverability monitoring, bounce management — full technical setup included.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Target: 300–500 emails/month; expected 3–6% reply rate for cold email in this niche.</w:t>
      </w: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4"/>
        </w:rPr>
        <w:t>4.4  Content &amp; AEO (Demand Capture)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Prospects actively researching MSB licensing are high-intent. We ensure MSBforSale.com captures them: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AI-generated SEO articles targeting high-intent queries: 'buy MSB license', 'Canadian MSB for sale', 'Montana MSB registration', 'crypto exchange license fast'.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AEO (Answer Engine Optimisation) — structured content that answers questions in AI chatbots (ChatGPT, Perplexity, Gemini), which this audience uses for research.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Press release amplification: build on existing MarketWatch / Business Insider coverage for further authority.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LinkedIn company page content: thought leadership posts targeting persona pain points — drives organic inbound.</w:t>
      </w:r>
    </w:p>
    <w:p>
      <w:pPr>
        <w:spacing w:before="80" w:after="80"/>
        <w:pBdr>
          <w:bottom w:val="single" w:sz="6" w:space="1" w:color="11557C"/>
        </w:pBdr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8"/>
        </w:rPr>
        <w:t>5. Technology Stack &amp; AI Layer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Every component of the programme is AI-augmented to reduce cost and increase personalisation at scale: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557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Component</w:t>
            </w:r>
          </w:p>
        </w:tc>
        <w:tc>
          <w:tcPr>
            <w:tcW w:type="dxa" w:w="4703"/>
            <w:shd w:val="clear" w:color="auto" w:fill="11557C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What We Use / How It Works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Prospect Discovery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Sales Navigator + Apollo + Clay — AI filters and scores prospects per persona.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Personalisation Engine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GPT-4 / Claude — generates personalised first lines referencing prospect's LinkedIn activity.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Sequence Management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Instantly.ai or Smartlead — multi-touch email sequences with auto-replies handling.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CRM Integration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HubSpot / Pipedrive — auto-logs all touches, responses, and moves leads through pipeline.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Intent Signals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Bombora / G2 intent data — surfaces prospects actively researching MSB/crypto licensing.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Reporting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Weekly dashboard showing outreach volume, reply rates, meetings booked, and pipeline value.</w:t>
            </w:r>
          </w:p>
        </w:tc>
      </w:tr>
    </w:tbl>
    <w:p/>
    <w:p>
      <w:pPr>
        <w:spacing w:before="80" w:after="80"/>
        <w:pBdr>
          <w:bottom w:val="single" w:sz="6" w:space="1" w:color="11557C"/>
        </w:pBdr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8"/>
        </w:rPr>
        <w:t>6. Deliverables</w:t>
      </w:r>
    </w:p>
    <w:p>
      <w:pPr>
        <w:spacing w:before="160"/>
      </w:pPr>
      <w:r>
        <w:rPr>
          <w:rFonts w:ascii="Calibri" w:hAnsi="Calibri"/>
          <w:b/>
          <w:i w:val="0"/>
          <w:color w:val="1F497D"/>
          <w:sz w:val="22"/>
        </w:rPr>
        <w:t>Month 1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Persona deep-dive: validate and refine the 6 target profiles with LinkedIn search tests.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Sales Navigator campaign setup (all 6 personas, geo-filtered).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Cold email infrastructure: domain, warm-up, sequence build.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Initial prospect list: 500+ verified contacts across all personas.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Messaging library: 3-touch LinkedIn sequences + 3-touch email sequences per persona.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First outreach wave launched by end of Month 1.</w:t>
      </w:r>
    </w:p>
    <w:p>
      <w:pPr>
        <w:spacing w:before="160"/>
      </w:pPr>
      <w:r>
        <w:rPr>
          <w:rFonts w:ascii="Calibri" w:hAnsi="Calibri"/>
          <w:b/>
          <w:i w:val="0"/>
          <w:color w:val="1F497D"/>
          <w:sz w:val="22"/>
        </w:rPr>
        <w:t>Month 2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500–1,000 LinkedIn outreach actions executed.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300–500 cold emails sent.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A/B test results: which messaging and persona converts best.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First batch of qualified leads delivered to CRM.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Weekly performance reports with open rates, replies, and meetings booked.</w:t>
      </w:r>
    </w:p>
    <w:p>
      <w:pPr>
        <w:spacing w:before="160"/>
      </w:pPr>
      <w:r>
        <w:rPr>
          <w:rFonts w:ascii="Calibri" w:hAnsi="Calibri"/>
          <w:b/>
          <w:i w:val="0"/>
          <w:color w:val="1F497D"/>
          <w:sz w:val="22"/>
        </w:rPr>
        <w:t>Month 3+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Full optimisation cycle: double down on best-performing persona/channel.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Content/SEO articles published (2–4/month targeting high-intent keywords).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AEO schema markup implemented on MSBforSale.com key pages.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Ongoing list refresh: new companies, conference attendees, intent signals.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Monthly strategy review call with performance data.</w:t>
      </w:r>
    </w:p>
    <w:p>
      <w:pPr>
        <w:spacing w:before="80" w:after="80"/>
        <w:pBdr>
          <w:bottom w:val="single" w:sz="6" w:space="1" w:color="11557C"/>
        </w:pBdr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8"/>
        </w:rPr>
        <w:t>7. Investment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1557C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Package</w:t>
            </w:r>
          </w:p>
        </w:tc>
        <w:tc>
          <w:tcPr>
            <w:tcW w:type="dxa" w:w="3135"/>
            <w:shd w:val="clear" w:color="auto" w:fill="11557C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Price</w:t>
            </w:r>
          </w:p>
        </w:tc>
        <w:tc>
          <w:tcPr>
            <w:tcW w:type="dxa" w:w="3135"/>
            <w:shd w:val="clear" w:color="auto" w:fill="11557C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Includes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Starter — LinkedIn Outbound Only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€1,200/mo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persona activated • 300–500 outreach actions/month • Monthly report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Growth — LinkedIn + Email + List Building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€2,200/mo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All 6 personas • 800–1,200 LinkedIn actions + 300 emails • CRM integration • Weekly reports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Full Programme — LinkedIn + Email + SEO/AEO + Content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€3,500/mo</w:t>
            </w:r>
          </w:p>
        </w:tc>
        <w:tc>
          <w:tcPr>
            <w:tcW w:type="dxa" w:w="3135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Everything in Growth + 2 SEO articles/mo + AEO optimisation + press amplification • Dedicated account manager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One-Time List Build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€800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500+ verified, enriched contacts across your 6 personas. Delivered in 5 business days.</w:t>
            </w:r>
          </w:p>
        </w:tc>
      </w:tr>
    </w:tbl>
    <w:p/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All packages are month-to-month. No long-term lock-in. Minimum 2-month commitment to allow optimisation cycle to complete.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A setup fee of €500 applies to Growth and Full Programme packages (one-time, covers infrastructure, domain warm-up, and CRM configuration).</w:t>
      </w:r>
    </w:p>
    <w:p>
      <w:pPr>
        <w:spacing w:before="80" w:after="80"/>
        <w:pBdr>
          <w:bottom w:val="single" w:sz="6" w:space="1" w:color="11557C"/>
        </w:pBdr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8"/>
        </w:rPr>
        <w:t>8. Why Our Agency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Deep B2B fintech experience — we understand the regulatory and compliance buyer mindset.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AI-first approach — personalisation at scale without the agency headcount cost.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AEO specialisation — we optimise for AI search engines (ChatGPT, Perplexity), not just Google, matching how your audience now researches.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High-risk vertical comfort — iGaming, crypto, forex are our natural territory.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Cyprus-based / EU presence — aligned timezone, legal context, and network in your key markets.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Full transparency — weekly data dashboards, not black-box reporting.</w:t>
      </w:r>
    </w:p>
    <w:p>
      <w:pPr>
        <w:spacing w:before="80" w:after="80"/>
        <w:pBdr>
          <w:bottom w:val="single" w:sz="6" w:space="1" w:color="11557C"/>
        </w:pBdr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11557C"/>
          <w:sz w:val="28"/>
        </w:rPr>
        <w:t>9. Next Steps</w:t>
      </w:r>
    </w:p>
    <w:p>
      <w:pPr>
        <w:spacing w:after="80"/>
        <w:jc w:val="left"/>
      </w:pPr>
      <w:r>
        <w:rPr>
          <w:rFonts w:ascii="Calibri" w:hAnsi="Calibri"/>
          <w:b w:val="0"/>
          <w:i w:val="0"/>
          <w:sz w:val="21"/>
        </w:rPr>
        <w:t>We suggest a fast start process: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Step 1 — 30-min discovery call to validate personas and agree priority geos.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Step 2 — Package selection and onboarding (2-day setup).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Step 3 — First outreach wave live within 10 business days of signing.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Step 4 — First results review at Day 30.</w:t>
      </w:r>
    </w:p>
    <w:p/>
    <w:p>
      <w:pPr>
        <w:jc w:val="center"/>
      </w:pPr>
      <w:r>
        <w:rPr>
          <w:rFonts w:ascii="Calibri" w:hAnsi="Calibri"/>
          <w:b/>
          <w:i/>
          <w:color w:val="11557C"/>
          <w:sz w:val="24"/>
        </w:rPr>
        <w:t>Ready to build your lead pipeline? Let's talk.</w:t>
      </w:r>
    </w:p>
    <w:p>
      <w:pPr>
        <w:spacing w:before="80" w:after="80"/>
        <w:pBdr>
          <w:bottom w:val="single" w:sz="6" w:space="1" w:color="11557C"/>
        </w:pBdr>
      </w:pPr>
    </w:p>
    <w:p>
      <w:pPr>
        <w:jc w:val="center"/>
      </w:pPr>
      <w:r>
        <w:rPr>
          <w:rFonts w:ascii="Calibri" w:hAnsi="Calibri"/>
          <w:b w:val="0"/>
          <w:i/>
          <w:color w:val="969696"/>
          <w:sz w:val="18"/>
        </w:rPr>
        <w:t>This proposal is confidential and prepared exclusively for MSBforSale.com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