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宋体" w:hAnsi="宋体" w:eastAsia="宋体"/>
          <w:b/>
          <w:sz w:val="44"/>
        </w:rPr>
        <w:t>专 利 申 请 技 术 交 底 书</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tcPr>
          <w:p>
            <w:r/>
            <w:r>
              <w:rPr>
                <w:rFonts w:ascii="宋体" w:hAnsi="宋体" w:eastAsia="宋体"/>
                <w:b/>
                <w:sz w:val="22"/>
              </w:rPr>
              <w:t>发明类型：</w:t>
            </w:r>
          </w:p>
        </w:tc>
        <w:tc>
          <w:tcPr>
            <w:tcW w:type="dxa" w:w="7371"/>
            <w:gridSpan w:val="3"/>
          </w:tcPr>
          <w:p>
            <w:r/>
            <w:r>
              <w:rPr>
                <w:rFonts w:ascii="宋体" w:hAnsi="宋体" w:eastAsia="宋体"/>
                <w:b w:val="0"/>
                <w:sz w:val="22"/>
              </w:rPr>
              <w:t>发明 ☑  实用新型 ☐  外观设计 ☐</w:t>
            </w:r>
          </w:p>
        </w:tc>
      </w:tr>
      <w:tr>
        <w:tc>
          <w:tcPr>
            <w:tcW w:type="dxa" w:w="1701"/>
          </w:tcPr>
          <w:p>
            <w:r/>
            <w:r>
              <w:rPr>
                <w:rFonts w:ascii="宋体" w:hAnsi="宋体" w:eastAsia="宋体"/>
                <w:b/>
                <w:sz w:val="22"/>
              </w:rPr>
              <w:t>同日申请实用新型：</w:t>
            </w:r>
          </w:p>
        </w:tc>
        <w:tc>
          <w:tcPr>
            <w:tcW w:type="dxa" w:w="2835"/>
          </w:tcPr>
          <w:p>
            <w:r/>
            <w:r>
              <w:rPr>
                <w:rFonts w:ascii="宋体" w:hAnsi="宋体" w:eastAsia="宋体"/>
                <w:b w:val="0"/>
                <w:sz w:val="22"/>
              </w:rPr>
              <w:t>☐</w:t>
            </w:r>
          </w:p>
        </w:tc>
        <w:tc>
          <w:tcPr>
            <w:tcW w:type="dxa" w:w="1701"/>
          </w:tcPr>
          <w:p>
            <w:r/>
            <w:r>
              <w:rPr>
                <w:rFonts w:ascii="宋体" w:hAnsi="宋体" w:eastAsia="宋体"/>
                <w:b/>
                <w:sz w:val="22"/>
              </w:rPr>
              <w:t>请求提前公布：</w:t>
            </w:r>
          </w:p>
        </w:tc>
        <w:tc>
          <w:tcPr>
            <w:tcW w:type="dxa" w:w="2835"/>
          </w:tcPr>
          <w:p>
            <w:r/>
            <w:r>
              <w:rPr>
                <w:rFonts w:ascii="宋体" w:hAnsi="宋体" w:eastAsia="宋体"/>
                <w:b w:val="0"/>
                <w:sz w:val="22"/>
              </w:rPr>
              <w:t>☐</w:t>
            </w:r>
          </w:p>
        </w:tc>
      </w:tr>
      <w:tr>
        <w:tc>
          <w:tcPr>
            <w:tcW w:type="dxa" w:w="1701"/>
          </w:tcPr>
          <w:p>
            <w:r/>
            <w:r>
              <w:rPr>
                <w:rFonts w:ascii="宋体" w:hAnsi="宋体" w:eastAsia="宋体"/>
                <w:b/>
                <w:sz w:val="22"/>
              </w:rPr>
              <w:t>优先权 实审方式：</w:t>
            </w:r>
          </w:p>
        </w:tc>
        <w:tc>
          <w:tcPr>
            <w:tcW w:type="dxa" w:w="7371"/>
            <w:gridSpan w:val="3"/>
          </w:tcPr>
          <w:p>
            <w:r/>
            <w:r>
              <w:rPr>
                <w:rFonts w:ascii="宋体" w:hAnsi="宋体" w:eastAsia="宋体"/>
                <w:b w:val="0"/>
                <w:sz w:val="22"/>
              </w:rPr>
              <w:t>☐ 新申请提  ☐ 公布提  ☐ 期限届满提  ☐ 不提</w:t>
            </w:r>
          </w:p>
        </w:tc>
      </w:tr>
      <w:tr>
        <w:tc>
          <w:tcPr>
            <w:tcW w:type="dxa" w:w="1701"/>
          </w:tcPr>
          <w:p>
            <w:r/>
            <w:r>
              <w:rPr>
                <w:rFonts w:ascii="宋体" w:hAnsi="宋体" w:eastAsia="宋体"/>
                <w:b/>
                <w:sz w:val="22"/>
              </w:rPr>
              <w:t>发明名称：</w:t>
            </w:r>
          </w:p>
        </w:tc>
        <w:tc>
          <w:tcPr>
            <w:tcW w:type="dxa" w:w="7371"/>
            <w:gridSpan w:val="3"/>
          </w:tcPr>
          <w:p>
            <w:r/>
            <w:r>
              <w:rPr>
                <w:rFonts w:ascii="宋体" w:hAnsi="宋体" w:eastAsia="宋体"/>
                <w:b w:val="0"/>
                <w:sz w:val="22"/>
              </w:rPr>
              <w:t>一种基于双状态机制门控及多尺度观测约束的超快激光多脉冲烧蚀形貌预测方法</w:t>
            </w:r>
          </w:p>
        </w:tc>
      </w:tr>
      <w:tr>
        <w:tc>
          <w:tcPr>
            <w:tcW w:type="dxa" w:w="1701"/>
          </w:tcPr>
          <w:p>
            <w:r/>
            <w:r>
              <w:rPr>
                <w:rFonts w:ascii="宋体" w:hAnsi="宋体" w:eastAsia="宋体"/>
                <w:b/>
                <w:sz w:val="22"/>
              </w:rPr>
              <w:t>发明人：</w:t>
            </w:r>
          </w:p>
        </w:tc>
        <w:tc>
          <w:tcPr>
            <w:tcW w:type="dxa" w:w="2835"/>
          </w:tcPr>
          <w:p>
            <w:r/>
            <w:r>
              <w:rPr>
                <w:rFonts w:ascii="宋体" w:hAnsi="宋体" w:eastAsia="宋体"/>
                <w:b w:val="0"/>
                <w:sz w:val="22"/>
              </w:rPr>
              <w:t>（待填写）</w:t>
            </w:r>
          </w:p>
        </w:tc>
        <w:tc>
          <w:tcPr>
            <w:tcW w:type="dxa" w:w="1701"/>
          </w:tcPr>
          <w:p>
            <w:r/>
            <w:r>
              <w:rPr>
                <w:rFonts w:ascii="宋体" w:hAnsi="宋体" w:eastAsia="宋体"/>
                <w:b/>
                <w:sz w:val="22"/>
              </w:rPr>
              <w:t>身份证号：</w:t>
            </w:r>
          </w:p>
        </w:tc>
        <w:tc>
          <w:tcPr>
            <w:tcW w:type="dxa" w:w="2835"/>
          </w:tcPr>
          <w:p>
            <w:r/>
            <w:r>
              <w:rPr>
                <w:rFonts w:ascii="宋体" w:hAnsi="宋体" w:eastAsia="宋体"/>
                <w:b w:val="0"/>
                <w:sz w:val="22"/>
              </w:rPr>
              <w:t>（待填写）</w:t>
            </w:r>
          </w:p>
        </w:tc>
      </w:tr>
      <w:tr>
        <w:tc>
          <w:tcPr>
            <w:tcW w:type="dxa" w:w="1701"/>
          </w:tcPr>
          <w:p>
            <w:r/>
            <w:r>
              <w:rPr>
                <w:rFonts w:ascii="宋体" w:hAnsi="宋体" w:eastAsia="宋体"/>
                <w:b/>
                <w:sz w:val="22"/>
              </w:rPr>
              <w:t>技术联系人：</w:t>
            </w:r>
          </w:p>
        </w:tc>
        <w:tc>
          <w:tcPr>
            <w:tcW w:type="dxa" w:w="2835"/>
          </w:tcPr>
          <w:p>
            <w:r/>
            <w:r>
              <w:rPr>
                <w:rFonts w:ascii="宋体" w:hAnsi="宋体" w:eastAsia="宋体"/>
                <w:b w:val="0"/>
                <w:sz w:val="22"/>
              </w:rPr>
              <w:t>（待填写）</w:t>
            </w:r>
          </w:p>
        </w:tc>
        <w:tc>
          <w:tcPr>
            <w:tcW w:type="dxa" w:w="1701"/>
          </w:tcPr>
          <w:p>
            <w:r/>
            <w:r>
              <w:rPr>
                <w:rFonts w:ascii="宋体" w:hAnsi="宋体" w:eastAsia="宋体"/>
                <w:b/>
                <w:sz w:val="22"/>
              </w:rPr>
              <w:t>所属公司/部门：</w:t>
            </w:r>
          </w:p>
        </w:tc>
        <w:tc>
          <w:tcPr>
            <w:tcW w:type="dxa" w:w="2835"/>
          </w:tcPr>
          <w:p>
            <w:r/>
            <w:r>
              <w:rPr>
                <w:rFonts w:ascii="宋体" w:hAnsi="宋体" w:eastAsia="宋体"/>
                <w:b w:val="0"/>
                <w:sz w:val="22"/>
              </w:rPr>
              <w:t>（待填写）</w:t>
            </w:r>
          </w:p>
        </w:tc>
      </w:tr>
      <w:tr>
        <w:tc>
          <w:tcPr>
            <w:tcW w:type="dxa" w:w="1701"/>
          </w:tcPr>
          <w:p>
            <w:r/>
            <w:r>
              <w:rPr>
                <w:rFonts w:ascii="宋体" w:hAnsi="宋体" w:eastAsia="宋体"/>
                <w:b/>
                <w:sz w:val="22"/>
              </w:rPr>
              <w:t>电话：</w:t>
            </w:r>
          </w:p>
        </w:tc>
        <w:tc>
          <w:tcPr>
            <w:tcW w:type="dxa" w:w="2835"/>
          </w:tcPr>
          <w:p>
            <w:r/>
            <w:r>
              <w:rPr>
                <w:rFonts w:ascii="宋体" w:hAnsi="宋体" w:eastAsia="宋体"/>
                <w:b w:val="0"/>
                <w:sz w:val="22"/>
              </w:rPr>
              <w:t>（待填写）</w:t>
            </w:r>
          </w:p>
        </w:tc>
        <w:tc>
          <w:tcPr>
            <w:tcW w:type="dxa" w:w="1701"/>
          </w:tcPr>
          <w:p>
            <w:r/>
            <w:r>
              <w:rPr>
                <w:rFonts w:ascii="宋体" w:hAnsi="宋体" w:eastAsia="宋体"/>
                <w:b/>
                <w:sz w:val="22"/>
              </w:rPr>
              <w:t>传真：</w:t>
            </w:r>
          </w:p>
        </w:tc>
        <w:tc>
          <w:tcPr>
            <w:tcW w:type="dxa" w:w="2835"/>
          </w:tcPr>
          <w:p>
            <w:r/>
            <w:r>
              <w:rPr>
                <w:rFonts w:ascii="宋体" w:hAnsi="宋体" w:eastAsia="宋体"/>
                <w:b w:val="0"/>
                <w:sz w:val="22"/>
              </w:rPr>
              <w:t>（待填写）</w:t>
            </w:r>
          </w:p>
        </w:tc>
      </w:tr>
      <w:tr>
        <w:tc>
          <w:tcPr>
            <w:tcW w:type="dxa" w:w="1701"/>
          </w:tcPr>
          <w:p>
            <w:r/>
            <w:r>
              <w:rPr>
                <w:rFonts w:ascii="宋体" w:hAnsi="宋体" w:eastAsia="宋体"/>
                <w:b/>
                <w:sz w:val="22"/>
              </w:rPr>
              <w:t>E-mail：</w:t>
            </w:r>
          </w:p>
        </w:tc>
        <w:tc>
          <w:tcPr>
            <w:tcW w:type="dxa" w:w="7371"/>
            <w:gridSpan w:val="3"/>
          </w:tcPr>
          <w:p>
            <w:r/>
            <w:r>
              <w:rPr>
                <w:rFonts w:ascii="宋体" w:hAnsi="宋体" w:eastAsia="宋体"/>
                <w:b w:val="0"/>
                <w:sz w:val="22"/>
              </w:rPr>
              <w:t>（待填写）</w:t>
            </w:r>
          </w:p>
        </w:tc>
      </w:tr>
      <w:tr>
        <w:tc>
          <w:tcPr>
            <w:tcW w:type="dxa" w:w="1701"/>
          </w:tcPr>
          <w:p>
            <w:r/>
            <w:r>
              <w:rPr>
                <w:rFonts w:ascii="宋体" w:hAnsi="宋体" w:eastAsia="宋体"/>
                <w:b/>
                <w:sz w:val="22"/>
              </w:rPr>
              <w:t>版本说明：</w:t>
            </w:r>
          </w:p>
        </w:tc>
        <w:tc>
          <w:tcPr>
            <w:tcW w:type="dxa" w:w="7371"/>
            <w:gridSpan w:val="3"/>
          </w:tcPr>
          <w:p>
            <w:r/>
            <w:r>
              <w:rPr>
                <w:rFonts w:ascii="宋体" w:hAnsi="宋体" w:eastAsia="宋体"/>
                <w:b w:val="0"/>
                <w:sz w:val="22"/>
              </w:rPr>
              <w:t>V6：标准模板格式版（对齐专利交底书模板格式，删除消融实验内容）</w:t>
            </w:r>
          </w:p>
        </w:tc>
      </w:tr>
      <w:tr>
        <w:tc>
          <w:tcPr>
            <w:tcW w:type="dxa" w:w="1701"/>
          </w:tcPr>
          <w:p>
            <w:r/>
            <w:r>
              <w:rPr>
                <w:rFonts w:ascii="宋体" w:hAnsi="宋体" w:eastAsia="宋体"/>
                <w:b w:val="0"/>
                <w:sz w:val="22"/>
              </w:rPr>
            </w:r>
          </w:p>
        </w:tc>
        <w:tc>
          <w:tcPr>
            <w:tcW w:type="dxa" w:w="2835"/>
          </w:tcPr>
          <w:p>
            <w:r/>
            <w:r>
              <w:rPr>
                <w:rFonts w:ascii="宋体" w:hAnsi="宋体" w:eastAsia="宋体"/>
                <w:b w:val="0"/>
                <w:sz w:val="22"/>
              </w:rPr>
            </w:r>
          </w:p>
        </w:tc>
        <w:tc>
          <w:tcPr>
            <w:tcW w:type="dxa" w:w="1701"/>
          </w:tcPr>
          <w:p>
            <w:r/>
            <w:r>
              <w:rPr>
                <w:rFonts w:ascii="宋体" w:hAnsi="宋体" w:eastAsia="宋体"/>
                <w:b w:val="0"/>
                <w:sz w:val="22"/>
              </w:rPr>
            </w:r>
          </w:p>
        </w:tc>
        <w:tc>
          <w:tcPr>
            <w:tcW w:type="dxa" w:w="2835"/>
          </w:tcPr>
          <w:p>
            <w:r/>
            <w:r>
              <w:rPr>
                <w:rFonts w:ascii="宋体" w:hAnsi="宋体" w:eastAsia="宋体"/>
                <w:b w:val="0"/>
                <w:sz w:val="22"/>
              </w:rPr>
            </w:r>
          </w:p>
        </w:tc>
      </w:tr>
    </w:tbl>
    <w:p/>
    <w:p>
      <w:pPr>
        <w:spacing w:before="120" w:after="120"/>
      </w:pPr>
      <w:r>
        <w:rPr>
          <w:rFonts w:ascii="宋体" w:hAnsi="宋体" w:eastAsia="宋体"/>
          <w:b/>
          <w:sz w:val="28"/>
        </w:rPr>
        <w:t>术语解释：</w:t>
      </w:r>
    </w:p>
    <w:p>
      <w:pPr>
        <w:spacing w:line="360" w:lineRule="auto" w:after="80"/>
        <w:ind w:firstLine="480"/>
      </w:pPr>
      <w:r>
        <w:rPr>
          <w:rFonts w:ascii="宋体" w:hAnsi="宋体" w:eastAsia="宋体"/>
          <w:b w:val="0"/>
          <w:sz w:val="24"/>
        </w:rPr>
        <w:t>表面形貌状态 Hₙ——第 n 个脉冲作用前的材料表面几何状态，可采用局部高度场、深度轮廓、坡度/曲率或其降维表征。</w:t>
      </w:r>
    </w:p>
    <w:p>
      <w:pPr>
        <w:spacing w:line="360" w:lineRule="auto" w:after="80"/>
        <w:ind w:firstLine="480"/>
      </w:pPr>
      <w:r>
        <w:rPr>
          <w:rFonts w:ascii="宋体" w:hAnsi="宋体" w:eastAsia="宋体"/>
          <w:b w:val="0"/>
          <w:sz w:val="24"/>
        </w:rPr>
        <w:t>脉冲历史材料状态 Zₙ——由先前脉冲序列造成、且不能由当前表面形貌 Hₙ 唯一确定的材料历史状态，可表征材料弱化、缺陷累积、残余热状态、光学性质变化或其隐变量组合。</w:t>
      </w:r>
    </w:p>
    <w:p>
      <w:pPr>
        <w:spacing w:line="360" w:lineRule="auto" w:after="80"/>
        <w:ind w:firstLine="480"/>
      </w:pPr>
      <w:r>
        <w:rPr>
          <w:rFonts w:ascii="宋体" w:hAnsi="宋体" w:eastAsia="宋体"/>
          <w:b w:val="0"/>
          <w:sz w:val="24"/>
        </w:rPr>
        <w:t>材料去除状态门控——依据 Hₙ、Zₙ 与当前脉冲条件计算多个材料去除状态子模型的贡献权重，实现不同加工阶段去除响应的软切换或加权组合。</w:t>
      </w:r>
    </w:p>
    <w:p>
      <w:pPr>
        <w:spacing w:line="360" w:lineRule="auto" w:after="80"/>
        <w:ind w:firstLine="480"/>
      </w:pPr>
      <w:r>
        <w:rPr>
          <w:rFonts w:ascii="宋体" w:hAnsi="宋体" w:eastAsia="宋体"/>
          <w:b w:val="0"/>
          <w:sz w:val="24"/>
        </w:rPr>
        <w:t>压缩观测——由激光共聚焦点云按统一几何/统计规则得到的低维实验量，单线观测包括线宽、线深，槽观测包括平均/特征槽深以及 Sa、Sq、Sz 等粗糙度指标。</w:t>
      </w:r>
    </w:p>
    <w:p>
      <w:pPr>
        <w:spacing w:line="360" w:lineRule="auto" w:after="80"/>
        <w:ind w:firstLine="480"/>
      </w:pPr>
      <w:r>
        <w:rPr>
          <w:rFonts w:ascii="宋体" w:hAnsi="宋体" w:eastAsia="宋体"/>
          <w:b w:val="0"/>
          <w:sz w:val="24"/>
        </w:rPr>
        <w:t>多尺度联合约束——使用同一微观状态模型同时生成单线与槽加工结果，并通过两类不同尺度的压缩实验观测共同确定历史状态演化参数和机制门控参数。</w:t>
      </w:r>
    </w:p>
    <w:p>
      <w:pPr>
        <w:spacing w:before="240" w:after="120"/>
      </w:pPr>
      <w:r>
        <w:rPr>
          <w:rFonts w:ascii="宋体" w:hAnsi="宋体" w:eastAsia="宋体"/>
          <w:b/>
          <w:sz w:val="28"/>
        </w:rPr>
        <w:t>1、本发明要解决的技术问题是什么？</w:t>
      </w:r>
    </w:p>
    <w:p>
      <w:pPr>
        <w:spacing w:line="360" w:lineRule="auto" w:after="80"/>
        <w:ind w:firstLine="480"/>
      </w:pPr>
      <w:r>
        <w:rPr>
          <w:rFonts w:ascii="宋体" w:hAnsi="宋体" w:eastAsia="宋体"/>
          <w:b/>
          <w:i w:val="0"/>
          <w:sz w:val="24"/>
        </w:rPr>
        <w:t>总体问题：</w:t>
      </w:r>
      <w:r>
        <w:rPr>
          <w:rFonts w:ascii="宋体" w:hAnsi="宋体" w:eastAsia="宋体"/>
          <w:sz w:val="24"/>
        </w:rPr>
        <w:t>如何把“单次/少量脉冲的局部响应”与“多脉冲、多扫描线、多遍加工形成的宏观形貌”连接起来，而且这种连接既能逐脉冲计算，又能被实际实验数据校准和验证。沿着这一总体问题，可进一步分解为五个技术问题：</w:t>
      </w:r>
    </w:p>
    <w:p>
      <w:pPr>
        <w:spacing w:line="360" w:lineRule="auto" w:after="80"/>
        <w:ind w:firstLine="480"/>
      </w:pPr>
      <w:r>
        <w:rPr>
          <w:rFonts w:ascii="宋体" w:hAnsi="宋体" w:eastAsia="宋体"/>
          <w:b/>
          <w:i w:val="0"/>
          <w:sz w:val="24"/>
        </w:rPr>
        <w:t>问题一——如何表示“材料记忆”。</w:t>
      </w:r>
      <w:r>
        <w:rPr>
          <w:rFonts w:ascii="宋体" w:hAnsi="宋体" w:eastAsia="宋体"/>
          <w:sz w:val="24"/>
        </w:rPr>
        <w:t>现有逐脉冲模型通常把当前表面形貌作为主要甚至唯一的历史信息载体，但多脉冲作用还会改变材料内部缺陷、弱化程度、残余热状态或吸收特性。几何形貌相近并不意味着材料一定处于相同的后续烧蚀状态，因此需要在表面形貌 Hₙ 之外引入独立的脉冲历史材料状态 Zₙ。</w:t>
      </w:r>
    </w:p>
    <w:p>
      <w:pPr>
        <w:spacing w:line="360" w:lineRule="auto" w:after="80"/>
        <w:ind w:firstLine="480"/>
      </w:pPr>
      <w:r>
        <w:rPr>
          <w:rFonts w:ascii="宋体" w:hAnsi="宋体" w:eastAsia="宋体"/>
          <w:b/>
          <w:i w:val="0"/>
          <w:sz w:val="24"/>
        </w:rPr>
        <w:t>问题二——如何描述不同加工阶段的去除响应。</w:t>
      </w:r>
      <w:r>
        <w:rPr>
          <w:rFonts w:ascii="宋体" w:hAnsi="宋体" w:eastAsia="宋体"/>
          <w:sz w:val="24"/>
        </w:rPr>
        <w:t>单一固定烧蚀公式难以同时覆盖单线、重复扫描和高重叠槽加工。需要根据当前形貌、历史材料状态和当前脉冲条件，自适应确定多个材料去除状态子模型的贡献。</w:t>
      </w:r>
    </w:p>
    <w:p>
      <w:pPr>
        <w:spacing w:line="360" w:lineRule="auto" w:after="80"/>
        <w:ind w:firstLine="480"/>
      </w:pPr>
      <w:r>
        <w:rPr>
          <w:rFonts w:ascii="宋体" w:hAnsi="宋体" w:eastAsia="宋体"/>
          <w:b/>
          <w:i w:val="0"/>
          <w:sz w:val="24"/>
        </w:rPr>
        <w:t>问题三——不可直接观测的状态如何被实验约束。</w:t>
      </w:r>
      <w:r>
        <w:rPr>
          <w:rFonts w:ascii="宋体" w:hAnsi="宋体" w:eastAsia="宋体"/>
          <w:sz w:val="24"/>
        </w:rPr>
        <w:t>历史材料状态和材料去除状态通常难以直接在线测量，而现有实验已经积累单线和矩形槽的共聚焦点云。需要利用单线宽度/深度与槽深度/粗糙度两类尺度不同、信息互补的压缩观测，对同一个微观模型实施联合约束和反演校准。</w:t>
      </w:r>
    </w:p>
    <w:p>
      <w:pPr>
        <w:spacing w:line="360" w:lineRule="auto" w:after="80"/>
        <w:ind w:firstLine="480"/>
      </w:pPr>
      <w:r>
        <w:rPr>
          <w:rFonts w:ascii="宋体" w:hAnsi="宋体" w:eastAsia="宋体"/>
          <w:b/>
          <w:i w:val="0"/>
          <w:sz w:val="24"/>
        </w:rPr>
        <w:t>问题四——小样本条件下，AI 应该学习什么。</w:t>
      </w:r>
      <w:r>
        <w:rPr>
          <w:rFonts w:ascii="宋体" w:hAnsi="宋体" w:eastAsia="宋体"/>
          <w:sz w:val="24"/>
        </w:rPr>
        <w:t>本发明不把 AI 用作“工艺参数→槽深/粗糙度”的直接黑箱回归，而是优先用于学习不可直接观测的状态演化、门控权重或难解析残差，并通过跨频率、跨填充间距、跨重复加工次数等未见工况检验其预测能力。</w:t>
      </w:r>
    </w:p>
    <w:p>
      <w:pPr>
        <w:spacing w:line="360" w:lineRule="auto" w:after="80"/>
        <w:ind w:firstLine="480"/>
      </w:pPr>
      <w:r>
        <w:rPr>
          <w:rFonts w:ascii="宋体" w:hAnsi="宋体" w:eastAsia="宋体"/>
          <w:b/>
          <w:i w:val="0"/>
          <w:sz w:val="24"/>
        </w:rPr>
        <w:t>问题五——如何落到工程应用。</w:t>
      </w:r>
      <w:r>
        <w:rPr>
          <w:rFonts w:ascii="宋体" w:hAnsi="宋体" w:eastAsia="宋体"/>
          <w:sz w:val="24"/>
        </w:rPr>
        <w:t>模型最终应能输出多脉冲加工形貌及槽深、粗糙度等工程指标，并可进一步用于工艺参数筛选和加工窗口优化。</w:t>
      </w:r>
    </w:p>
    <w:p>
      <w:pPr>
        <w:spacing w:before="240" w:after="120"/>
      </w:pPr>
      <w:r>
        <w:rPr>
          <w:rFonts w:ascii="宋体" w:hAnsi="宋体" w:eastAsia="宋体"/>
          <w:b/>
          <w:sz w:val="28"/>
        </w:rPr>
        <w:t>2、详细介绍技术背景,并描述已有的与本发明最相近似的实现方案（包括两部分：1、作为本发明基础的且帮助理解本发明公知技术内容；2、与本发明最接近的已有技术方案的说明（对于方法，应说明现有方法的步骤，对于装置，应当说明结构组成及其关系））</w:t>
      </w:r>
    </w:p>
    <w:p>
      <w:pPr>
        <w:spacing w:before="160" w:after="120"/>
      </w:pPr>
      <w:r>
        <w:rPr>
          <w:rFonts w:ascii="宋体" w:hAnsi="宋体" w:eastAsia="宋体"/>
          <w:b/>
          <w:sz w:val="24"/>
        </w:rPr>
        <w:t>2.1 从工程现象到物理建模基础</w:t>
      </w:r>
    </w:p>
    <w:p>
      <w:pPr>
        <w:spacing w:line="360" w:lineRule="auto" w:after="80"/>
        <w:ind w:firstLine="480"/>
      </w:pPr>
      <w:r>
        <w:rPr>
          <w:rFonts w:ascii="宋体" w:hAnsi="宋体" w:eastAsia="宋体"/>
          <w:b/>
          <w:i w:val="0"/>
          <w:sz w:val="24"/>
        </w:rPr>
        <w:t>先从工程现象看，</w:t>
      </w:r>
      <w:r>
        <w:rPr>
          <w:rFonts w:ascii="宋体" w:hAnsi="宋体" w:eastAsia="宋体"/>
          <w:sz w:val="24"/>
        </w:rPr>
        <w:t>超快激光烧蚀量受局部能流密度、烧蚀阈值、脉冲数、脉宽、重复频率、光斑重叠和表面状态等共同影响。经典对数烧蚀定律、Liu D² 阈值法和孵化效应模型可以描述部分工况，但通常采用固定参数或仅按脉冲数修正参数；当加工从少量脉冲扩展到高重叠、多扫描线和多遍加工时，历史影响会变得更突出。2025 年提出的 threshold-refined ablation model（TRM）通过在对数烧蚀关系中加入最小烧蚀深度 d₀ 改善单脉冲/近阈值预测，可作为本发明中材料去除状态子模型的一种可选基础形式，而不是本发明的核心创新。</w:t>
      </w:r>
    </w:p>
    <w:p>
      <w:pPr>
        <w:spacing w:line="360" w:lineRule="auto" w:after="80"/>
        <w:ind w:firstLine="480"/>
      </w:pPr>
      <w:r>
        <w:rPr>
          <w:rFonts w:ascii="Cambria Math" w:hAnsi="Cambria Math" w:eastAsia="Cambria Math"/>
          <w:sz w:val="22"/>
        </w:rPr>
        <w:t>示例子模型：  Aₘ = [ d₀,ₘ(Zₙ) + d_eff,ₘ(Zₙ) · ln(F_eff,n / F_th,ₘ(Zₙ)) ]₊</w:t>
      </w:r>
    </w:p>
    <w:p>
      <w:pPr>
        <w:spacing w:line="360" w:lineRule="auto" w:after="80"/>
        <w:ind w:firstLine="480"/>
      </w:pPr>
      <w:r>
        <w:rPr>
          <w:rFonts w:ascii="宋体" w:hAnsi="宋体" w:eastAsia="宋体"/>
          <w:b/>
          <w:i w:val="0"/>
          <w:sz w:val="24"/>
        </w:rPr>
        <w:t>为什么需要独立历史状态：</w:t>
      </w:r>
      <w:r>
        <w:rPr>
          <w:rFonts w:ascii="宋体" w:hAnsi="宋体" w:eastAsia="宋体"/>
          <w:sz w:val="24"/>
        </w:rPr>
        <w:t>多脉冲过程存在孵化、热积累、吸收率变化、表面粗糙化、再沉积等历史效应。2026 年有关孵化机制的研究表明，不同金属的阈值下降可由不同物理来源主导；同年针对奥氏体不锈钢的逐脉冲时间分辨预印本进一步观察到前几个脉冲之间的瞬态材料去除响应发生显著转变。这些研究为“历史材料状态”和“去除状态门控”的物理合理性提供支撑，但本发明并不要求先给 Zₙ 的每个分量贴上唯一物理标签，独立权利要求也不应把具体机理写死。</w:t>
      </w:r>
    </w:p>
    <w:p>
      <w:pPr>
        <w:spacing w:before="160" w:after="120"/>
      </w:pPr>
      <w:r>
        <w:rPr>
          <w:rFonts w:ascii="宋体" w:hAnsi="宋体" w:eastAsia="宋体"/>
          <w:b/>
          <w:sz w:val="24"/>
        </w:rPr>
        <w:t>2.2 与本发明最接近的公开方案及查新判断</w:t>
      </w:r>
    </w:p>
    <w:p>
      <w:pPr>
        <w:spacing w:after="40"/>
      </w:pPr>
    </w:p>
    <w:p>
      <w:pPr>
        <w:spacing w:line="360" w:lineRule="auto" w:after="80"/>
        <w:ind w:firstLine="480"/>
      </w:pPr>
      <w:r>
        <w:rPr>
          <w:rFonts w:ascii="宋体" w:hAnsi="宋体" w:eastAsia="宋体"/>
          <w:sz w:val="21"/>
        </w:rPr>
        <w:t>初步查新结论：截至本交底书撰写时，本轮定向检索未发现单一强相关文献同时公开“表面形貌状态与独立脉冲历史材料状态的双状态递推 + 历史状态驱动的多材料去除状态门控 + 单线宽/深与槽深/粗糙度双尺度压缩观测对同一微观模型的联合反演/校准”这一完整技术链。该结论仅用于确定交底书撰写方向，不等同于正式全球新颖性或自由实施（FTO）法律意见。</w:t>
      </w:r>
    </w:p>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0"/>
              </w:rPr>
              <w:t>现有技术</w:t>
            </w:r>
          </w:p>
        </w:tc>
        <w:tc>
          <w:tcPr>
            <w:tcW w:type="dxa" w:w="2882"/>
          </w:tcPr>
          <w:p>
            <w:r/>
            <w:r>
              <w:rPr>
                <w:rFonts w:ascii="宋体" w:hAnsi="宋体" w:eastAsia="宋体"/>
                <w:b w:val="0"/>
                <w:sz w:val="20"/>
              </w:rPr>
              <w:t>主要公开内容</w:t>
            </w:r>
          </w:p>
        </w:tc>
        <w:tc>
          <w:tcPr>
            <w:tcW w:type="dxa" w:w="2882"/>
          </w:tcPr>
          <w:p>
            <w:r/>
            <w:r>
              <w:rPr>
                <w:rFonts w:ascii="宋体" w:hAnsi="宋体" w:eastAsia="宋体"/>
                <w:b w:val="0"/>
                <w:sz w:val="20"/>
              </w:rPr>
              <w:t>对本发明的影响/规避策略</w:t>
            </w:r>
          </w:p>
        </w:tc>
      </w:tr>
      <w:tr>
        <w:tc>
          <w:tcPr>
            <w:tcW w:type="dxa" w:w="2882"/>
          </w:tcPr>
          <w:p>
            <w:r/>
            <w:r>
              <w:rPr>
                <w:rFonts w:ascii="宋体" w:hAnsi="宋体" w:eastAsia="宋体"/>
                <w:b w:val="0"/>
                <w:sz w:val="20"/>
              </w:rPr>
              <w:t>Tani &amp; Kobayashi, 2022, Scientific Reports</w:t>
            </w:r>
          </w:p>
        </w:tc>
        <w:tc>
          <w:tcPr>
            <w:tcW w:type="dxa" w:w="2882"/>
          </w:tcPr>
          <w:p>
            <w:r/>
            <w:r>
              <w:rPr>
                <w:rFonts w:ascii="宋体" w:hAnsi="宋体" w:eastAsia="宋体"/>
                <w:b w:val="0"/>
                <w:sz w:val="20"/>
              </w:rPr>
              <w:t>用单次脉冲前后形貌训练深度网络，并递归预测任意位置、任意脉冲能量下的多脉冲三维形貌；文中明确认为当前局部表面形貌可表征前序脉冲累积变化。</w:t>
            </w:r>
          </w:p>
        </w:tc>
        <w:tc>
          <w:tcPr>
            <w:tcW w:type="dxa" w:w="2882"/>
          </w:tcPr>
          <w:p>
            <w:r/>
            <w:r>
              <w:rPr>
                <w:rFonts w:ascii="宋体" w:hAnsi="宋体" w:eastAsia="宋体"/>
                <w:b w:val="0"/>
                <w:sz w:val="20"/>
              </w:rPr>
              <w:t>强相关。不能主张“单脉冲训练→多脉冲递推”本身。区别应落在独立历史材料状态 Zₙ、机制门控以及单线/槽多尺度观测联合反演。</w:t>
            </w:r>
          </w:p>
        </w:tc>
      </w:tr>
      <w:tr>
        <w:tc>
          <w:tcPr>
            <w:tcW w:type="dxa" w:w="2882"/>
          </w:tcPr>
          <w:p>
            <w:r/>
            <w:r>
              <w:rPr>
                <w:rFonts w:ascii="宋体" w:hAnsi="宋体" w:eastAsia="宋体"/>
                <w:b w:val="0"/>
                <w:sz w:val="20"/>
              </w:rPr>
              <w:t>CN118536273A</w:t>
            </w:r>
          </w:p>
        </w:tc>
        <w:tc>
          <w:tcPr>
            <w:tcW w:type="dxa" w:w="2882"/>
          </w:tcPr>
          <w:p>
            <w:r/>
            <w:r>
              <w:rPr>
                <w:rFonts w:ascii="宋体" w:hAnsi="宋体" w:eastAsia="宋体"/>
                <w:b w:val="0"/>
                <w:sz w:val="20"/>
              </w:rPr>
              <w:t>建立 Z-Map/ZM-Map，按网格统计有效脉冲数 N，并由 N 计算多脉冲烧蚀阈值；逐脉冲更新表面形貌。</w:t>
            </w:r>
          </w:p>
        </w:tc>
        <w:tc>
          <w:tcPr>
            <w:tcW w:type="dxa" w:w="2882"/>
          </w:tcPr>
          <w:p>
            <w:r/>
            <w:r>
              <w:rPr>
                <w:rFonts w:ascii="宋体" w:hAnsi="宋体" w:eastAsia="宋体"/>
                <w:b w:val="0"/>
                <w:sz w:val="20"/>
              </w:rPr>
              <w:t>强相关。不能把“有效脉冲计数+N 依赖阈值+逐脉冲形貌更新”作为核心。Zₙ 必须区别于有效脉冲数。</w:t>
            </w:r>
          </w:p>
        </w:tc>
      </w:tr>
      <w:tr>
        <w:tc>
          <w:tcPr>
            <w:tcW w:type="dxa" w:w="2882"/>
          </w:tcPr>
          <w:p>
            <w:r/>
            <w:r>
              <w:rPr>
                <w:rFonts w:ascii="宋体" w:hAnsi="宋体" w:eastAsia="宋体"/>
                <w:b w:val="0"/>
                <w:sz w:val="20"/>
              </w:rPr>
              <w:t>CN121348803B</w:t>
            </w:r>
          </w:p>
        </w:tc>
        <w:tc>
          <w:tcPr>
            <w:tcW w:type="dxa" w:w="2882"/>
          </w:tcPr>
          <w:p>
            <w:r/>
            <w:r>
              <w:rPr>
                <w:rFonts w:ascii="宋体" w:hAnsi="宋体" w:eastAsia="宋体"/>
                <w:b w:val="0"/>
                <w:sz w:val="20"/>
              </w:rPr>
              <w:t>面向单行划线和多行扫描，提取与当前烧蚀/再沉积区域重叠的脉冲集合，使用逐脉冲烧蚀模型局部迭代，并通过坐标转换/布尔运算组合形貌。</w:t>
            </w:r>
          </w:p>
        </w:tc>
        <w:tc>
          <w:tcPr>
            <w:tcW w:type="dxa" w:w="2882"/>
          </w:tcPr>
          <w:p>
            <w:r/>
            <w:r>
              <w:rPr>
                <w:rFonts w:ascii="宋体" w:hAnsi="宋体" w:eastAsia="宋体"/>
                <w:b w:val="0"/>
                <w:sz w:val="20"/>
              </w:rPr>
              <w:t>强相关。不能把“单线/多线重叠脉冲局部仿真”作为核心。重点写 Zₙ 的材料历史属性、门控作用及实验多尺度联合校准。</w:t>
            </w:r>
          </w:p>
        </w:tc>
      </w:tr>
      <w:tr>
        <w:tc>
          <w:tcPr>
            <w:tcW w:type="dxa" w:w="2882"/>
          </w:tcPr>
          <w:p>
            <w:r/>
            <w:r>
              <w:rPr>
                <w:rFonts w:ascii="宋体" w:hAnsi="宋体" w:eastAsia="宋体"/>
                <w:b w:val="0"/>
                <w:sz w:val="20"/>
              </w:rPr>
              <w:t>Mottay, 2025, Journal of Laser Applications</w:t>
            </w:r>
          </w:p>
        </w:tc>
        <w:tc>
          <w:tcPr>
            <w:tcW w:type="dxa" w:w="2882"/>
          </w:tcPr>
          <w:p>
            <w:r/>
            <w:r>
              <w:rPr>
                <w:rFonts w:ascii="宋体" w:hAnsi="宋体" w:eastAsia="宋体"/>
                <w:b w:val="0"/>
                <w:sz w:val="20"/>
              </w:rPr>
              <w:t>TTM 与残差神经网络混合，针对 silicon/steel/copper/aluminum 的 line 与 raster 数据，在 10–100 个样本的小数据条件下提升烧蚀深度预测。</w:t>
            </w:r>
          </w:p>
        </w:tc>
        <w:tc>
          <w:tcPr>
            <w:tcW w:type="dxa" w:w="2882"/>
          </w:tcPr>
          <w:p>
            <w:r/>
            <w:r>
              <w:rPr>
                <w:rFonts w:ascii="宋体" w:hAnsi="宋体" w:eastAsia="宋体"/>
                <w:b w:val="0"/>
                <w:sz w:val="20"/>
              </w:rPr>
              <w:t>强相关。不能单独主张“物理模型+残差 AI”或“line+raster 小样本”。本发明 AI 用于状态转移/门控，并由不同尺度观测共同约束。</w:t>
            </w:r>
          </w:p>
        </w:tc>
      </w:tr>
      <w:tr>
        <w:tc>
          <w:tcPr>
            <w:tcW w:type="dxa" w:w="2882"/>
          </w:tcPr>
          <w:p>
            <w:r/>
            <w:r>
              <w:rPr>
                <w:rFonts w:ascii="宋体" w:hAnsi="宋体" w:eastAsia="宋体"/>
                <w:b w:val="0"/>
                <w:sz w:val="20"/>
              </w:rPr>
              <w:t>Li et al., 2026, AM-PGNN</w:t>
            </w:r>
          </w:p>
        </w:tc>
        <w:tc>
          <w:tcPr>
            <w:tcW w:type="dxa" w:w="2882"/>
          </w:tcPr>
          <w:p>
            <w:r/>
            <w:r>
              <w:rPr>
                <w:rFonts w:ascii="宋体" w:hAnsi="宋体" w:eastAsia="宋体"/>
                <w:b w:val="0"/>
                <w:sz w:val="20"/>
              </w:rPr>
              <w:t>以注意力机制和单调物理约束直接预测飞秒激光槽深。</w:t>
            </w:r>
          </w:p>
        </w:tc>
        <w:tc>
          <w:tcPr>
            <w:tcW w:type="dxa" w:w="2882"/>
          </w:tcPr>
          <w:p>
            <w:r/>
            <w:r>
              <w:rPr>
                <w:rFonts w:ascii="宋体" w:hAnsi="宋体" w:eastAsia="宋体"/>
                <w:b w:val="0"/>
                <w:sz w:val="20"/>
              </w:rPr>
              <w:t>中强相关宏观 AI。应规避“工艺参数→槽深”的直接黑箱/弱物理回归，把宏观槽数据定位为微观模型的观测约束。</w:t>
            </w:r>
          </w:p>
        </w:tc>
      </w:tr>
      <w:tr>
        <w:tc>
          <w:tcPr>
            <w:tcW w:type="dxa" w:w="2882"/>
          </w:tcPr>
          <w:p>
            <w:r/>
            <w:r>
              <w:rPr>
                <w:rFonts w:ascii="宋体" w:hAnsi="宋体" w:eastAsia="宋体"/>
                <w:b w:val="0"/>
                <w:sz w:val="20"/>
              </w:rPr>
              <w:t>Grbčić et al., 2025, npj Computational Materials</w:t>
            </w:r>
          </w:p>
        </w:tc>
        <w:tc>
          <w:tcPr>
            <w:tcW w:type="dxa" w:w="2882"/>
          </w:tcPr>
          <w:p>
            <w:r/>
            <w:r>
              <w:rPr>
                <w:rFonts w:ascii="宋体" w:hAnsi="宋体" w:eastAsia="宋体"/>
                <w:b w:val="0"/>
                <w:sz w:val="20"/>
              </w:rPr>
              <w:t>利用多保真机器学习与高通量飞秒激光实验进行光子表面逆向设计。</w:t>
            </w:r>
          </w:p>
        </w:tc>
        <w:tc>
          <w:tcPr>
            <w:tcW w:type="dxa" w:w="2882"/>
          </w:tcPr>
          <w:p>
            <w:r/>
            <w:r>
              <w:rPr>
                <w:rFonts w:ascii="宋体" w:hAnsi="宋体" w:eastAsia="宋体"/>
                <w:b w:val="0"/>
                <w:sz w:val="20"/>
              </w:rPr>
              <w:t>弱至中等相关。说明多保真/多尺度 AI 属通用技术，不宜单独作为创新点；本发明强调两类加工尺度观测对同一脉冲级隐状态模型的耦合。</w:t>
            </w:r>
          </w:p>
        </w:tc>
      </w:tr>
    </w:tbl>
    <w:p/>
    <w:p>
      <w:pPr>
        <w:spacing w:before="160" w:after="120"/>
      </w:pPr>
      <w:r>
        <w:rPr>
          <w:rFonts w:ascii="宋体" w:hAnsi="宋体" w:eastAsia="宋体"/>
          <w:b/>
          <w:sz w:val="24"/>
        </w:rPr>
        <w:t>2.3 中国人工智能相关专利撰写考虑</w:t>
      </w:r>
    </w:p>
    <w:p>
      <w:pPr>
        <w:spacing w:line="360" w:lineRule="auto" w:after="80"/>
        <w:ind w:firstLine="480"/>
      </w:pPr>
      <w:r>
        <w:rPr>
          <w:rFonts w:ascii="宋体" w:hAnsi="宋体" w:eastAsia="宋体"/>
          <w:sz w:val="21"/>
        </w:rPr>
        <w:t>国家知识产权局 2025 年典型复审案例明确指出：当具体应用场景使算法/模型在结构、训练数据、输入输出、模型选择等方面发生实质性调整，且该调整非显而易见并产生相应技术效果时，应当在创造性评价中予以整体考虑。因此，本发明不把“MoE、FNO、Transformer、PINN”等算法名称作为独立创造性来源，而将算法结构与超快激光的具体物理状态、脉冲历史和多尺度实验观测绑定。</w:t>
      </w:r>
    </w:p>
    <w:p>
      <w:pPr>
        <w:spacing w:before="240" w:after="120"/>
      </w:pPr>
      <w:r>
        <w:rPr>
          <w:rFonts w:ascii="宋体" w:hAnsi="宋体" w:eastAsia="宋体"/>
          <w:b/>
          <w:sz w:val="28"/>
        </w:rPr>
        <w:t>3、以因果关系推理的方式推导出现有技术的缺点是什么？针对这些缺点，说明本发明的目的及能够达到的技术效果。（现有技术的缺点是针对于本发明的优点来说的，本发明不能解决的缺点不必写）</w:t>
      </w:r>
    </w:p>
    <w:p>
      <w:pPr>
        <w:spacing w:line="360" w:lineRule="auto" w:after="80"/>
        <w:ind w:firstLine="480"/>
      </w:pPr>
      <w:r>
        <w:rPr>
          <w:rFonts w:ascii="宋体" w:hAnsi="宋体" w:eastAsia="宋体"/>
          <w:b/>
          <w:sz w:val="21"/>
        </w:rPr>
        <w:t>缺点一：形貌单状态假设存在信息缺失。</w:t>
      </w:r>
      <w:r>
        <w:rPr>
          <w:rFonts w:ascii="宋体" w:hAnsi="宋体" w:eastAsia="宋体"/>
          <w:sz w:val="21"/>
        </w:rPr>
        <w:t>若仅使用当前表面形貌 Hₙ 预测下一脉冲响应，则无法显式区分几何形貌相近但先前脉冲能量、时间间隔、扫描顺序不同的材料状态。</w:t>
      </w:r>
    </w:p>
    <w:p>
      <w:pPr>
        <w:spacing w:line="360" w:lineRule="auto" w:after="80"/>
        <w:ind w:firstLine="480"/>
      </w:pPr>
      <w:r>
        <w:rPr>
          <w:rFonts w:ascii="宋体" w:hAnsi="宋体" w:eastAsia="宋体"/>
          <w:b/>
          <w:sz w:val="21"/>
        </w:rPr>
        <w:t>对应目的与效果：</w:t>
      </w:r>
      <w:r>
        <w:rPr>
          <w:rFonts w:ascii="宋体" w:hAnsi="宋体" w:eastAsia="宋体"/>
          <w:sz w:val="21"/>
        </w:rPr>
        <w:t>引入与 Hₙ 并列的历史材料状态 Zₙ，由真实脉冲历史递推；使模型能够保留不能由当前几何状态唯一确定的历史信息。</w:t>
      </w:r>
    </w:p>
    <w:p>
      <w:pPr>
        <w:spacing w:line="360" w:lineRule="auto" w:after="80"/>
        <w:ind w:firstLine="480"/>
      </w:pPr>
      <w:r>
        <w:rPr>
          <w:rFonts w:ascii="宋体" w:hAnsi="宋体" w:eastAsia="宋体"/>
          <w:b/>
          <w:sz w:val="21"/>
        </w:rPr>
        <w:t>缺点二：有效脉冲数/孵化系数过度压缩历史。</w:t>
      </w:r>
      <w:r>
        <w:rPr>
          <w:rFonts w:ascii="宋体" w:hAnsi="宋体" w:eastAsia="宋体"/>
          <w:sz w:val="21"/>
        </w:rPr>
        <w:t>把多脉冲历史压缩为 N 或 F_th(N) 会丢失脉冲能量分配、时间间隔、局部重叠和先后顺序等信息。</w:t>
      </w:r>
    </w:p>
    <w:p>
      <w:pPr>
        <w:spacing w:line="360" w:lineRule="auto" w:after="80"/>
        <w:ind w:firstLine="480"/>
      </w:pPr>
      <w:r>
        <w:rPr>
          <w:rFonts w:ascii="宋体" w:hAnsi="宋体" w:eastAsia="宋体"/>
          <w:b/>
          <w:sz w:val="21"/>
        </w:rPr>
        <w:t>对应目的与效果：</w:t>
      </w:r>
      <w:r>
        <w:rPr>
          <w:rFonts w:ascii="宋体" w:hAnsi="宋体" w:eastAsia="宋体"/>
          <w:sz w:val="21"/>
        </w:rPr>
        <w:t>Zₙ 由序列递推而非简单计数得到，并允许不同状态分量具有不同的恢复/衰减时间尺度。</w:t>
      </w:r>
    </w:p>
    <w:p>
      <w:pPr>
        <w:spacing w:line="360" w:lineRule="auto" w:after="80"/>
        <w:ind w:firstLine="480"/>
      </w:pPr>
      <w:r>
        <w:rPr>
          <w:rFonts w:ascii="宋体" w:hAnsi="宋体" w:eastAsia="宋体"/>
          <w:b/>
          <w:sz w:val="21"/>
        </w:rPr>
        <w:t>缺点三：单一去除模型难以覆盖不同阶段。</w:t>
      </w:r>
      <w:r>
        <w:rPr>
          <w:rFonts w:ascii="宋体" w:hAnsi="宋体" w:eastAsia="宋体"/>
          <w:sz w:val="21"/>
        </w:rPr>
        <w:t>固定烧蚀关系需要用一组参数同时拟合近阈值、强重叠、多遍扫描等不同状态，易产生不可解释的参数漂移。</w:t>
      </w:r>
    </w:p>
    <w:p>
      <w:pPr>
        <w:spacing w:line="360" w:lineRule="auto" w:after="80"/>
        <w:ind w:firstLine="480"/>
      </w:pPr>
      <w:r>
        <w:rPr>
          <w:rFonts w:ascii="宋体" w:hAnsi="宋体" w:eastAsia="宋体"/>
          <w:b/>
          <w:sz w:val="21"/>
        </w:rPr>
        <w:t>对应目的与效果：</w:t>
      </w:r>
      <w:r>
        <w:rPr>
          <w:rFonts w:ascii="宋体" w:hAnsi="宋体" w:eastAsia="宋体"/>
          <w:sz w:val="21"/>
        </w:rPr>
        <w:t>通过门控权重 πₘ,ₙ 在多个材料去除状态子模型之间进行软切换或加权组合，并对权重施加物理边界约束。</w:t>
      </w:r>
    </w:p>
    <w:p>
      <w:pPr>
        <w:spacing w:line="360" w:lineRule="auto" w:after="80"/>
        <w:ind w:firstLine="480"/>
      </w:pPr>
      <w:r>
        <w:rPr>
          <w:rFonts w:ascii="宋体" w:hAnsi="宋体" w:eastAsia="宋体"/>
          <w:b/>
          <w:sz w:val="21"/>
        </w:rPr>
        <w:t>缺点四：微观模型难以通过单一宏观指标识别。</w:t>
      </w:r>
      <w:r>
        <w:rPr>
          <w:rFonts w:ascii="宋体" w:hAnsi="宋体" w:eastAsia="宋体"/>
          <w:sz w:val="21"/>
        </w:rPr>
        <w:t>仅以槽平均深度训练会产生较强不可辨识性，不同 Zₙ/πₘ 组合可能得到相近槽深。</w:t>
      </w:r>
    </w:p>
    <w:p>
      <w:pPr>
        <w:spacing w:line="360" w:lineRule="auto" w:after="80"/>
        <w:ind w:firstLine="480"/>
      </w:pPr>
      <w:r>
        <w:rPr>
          <w:rFonts w:ascii="宋体" w:hAnsi="宋体" w:eastAsia="宋体"/>
          <w:b/>
          <w:sz w:val="21"/>
        </w:rPr>
        <w:t>对应目的与效果：</w:t>
      </w:r>
      <w:r>
        <w:rPr>
          <w:rFonts w:ascii="宋体" w:hAnsi="宋体" w:eastAsia="宋体"/>
          <w:sz w:val="21"/>
        </w:rPr>
        <w:t>同时使用单线宽/深和槽深/Sa/Sq/Sz 两个尺度的压缩观测进行联合约束，使局部去除能力、历史累积规律和空间均匀性分别得到信息互补的约束。</w:t>
      </w:r>
    </w:p>
    <w:p>
      <w:pPr>
        <w:spacing w:line="360" w:lineRule="auto" w:after="80"/>
        <w:ind w:firstLine="480"/>
      </w:pPr>
      <w:r>
        <w:rPr>
          <w:rFonts w:ascii="宋体" w:hAnsi="宋体" w:eastAsia="宋体"/>
          <w:b/>
          <w:sz w:val="21"/>
        </w:rPr>
        <w:t>缺点五：纯黑箱 AI 泛化与专利技术贡献有限。</w:t>
      </w:r>
      <w:r>
        <w:rPr>
          <w:rFonts w:ascii="宋体" w:hAnsi="宋体" w:eastAsia="宋体"/>
          <w:sz w:val="21"/>
        </w:rPr>
        <w:t>工艺参数直接回归槽深/粗糙度容易对 DOE 离散水平记忆，且难解释跨工况外推。</w:t>
      </w:r>
    </w:p>
    <w:p>
      <w:pPr>
        <w:spacing w:line="360" w:lineRule="auto" w:after="80"/>
        <w:ind w:firstLine="480"/>
      </w:pPr>
      <w:r>
        <w:rPr>
          <w:rFonts w:ascii="宋体" w:hAnsi="宋体" w:eastAsia="宋体"/>
          <w:b/>
          <w:sz w:val="21"/>
        </w:rPr>
        <w:t>对应目的与效果：</w:t>
      </w:r>
      <w:r>
        <w:rPr>
          <w:rFonts w:ascii="宋体" w:hAnsi="宋体" w:eastAsia="宋体"/>
          <w:sz w:val="21"/>
        </w:rPr>
        <w:t>将 AI 限定在历史状态转移、门控权重或难解析残差等物理位置，并通过留一水平、跨尺度迁移等验证技术效果。</w:t>
      </w:r>
    </w:p>
    <w:p>
      <w:pPr>
        <w:spacing w:line="360" w:lineRule="auto" w:after="80"/>
        <w:ind w:firstLine="480"/>
      </w:pPr>
      <w:r>
        <w:rPr>
          <w:rFonts w:ascii="宋体" w:hAnsi="宋体" w:eastAsia="宋体"/>
          <w:sz w:val="24"/>
        </w:rPr>
        <w:drawing>
          <wp:inline distT="0" distB="0" distL="114300" distR="114300">
            <wp:extent cx="5831840" cy="3280410"/>
            <wp:effectExtent l="0" t="0" r="1651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832000" cy="3280500"/>
                    </a:xfrm>
                    <a:prstGeom prst="rect">
                      <a:avLst/>
                    </a:prstGeom>
                  </pic:spPr>
                </pic:pic>
              </a:graphicData>
            </a:graphic>
          </wp:inline>
        </w:drawing>
      </w:r>
    </w:p>
    <w:p>
      <w:pPr>
        <w:spacing w:line="360" w:lineRule="auto" w:after="80"/>
        <w:ind w:firstLine="480"/>
      </w:pPr>
      <w:r>
        <w:rPr>
          <w:rFonts w:ascii="宋体" w:hAnsi="宋体" w:eastAsia="宋体"/>
          <w:b/>
          <w:sz w:val="19"/>
        </w:rPr>
        <w:t>图1  微观双状态模型—宏观多尺度压缩观测闭环总体架构</w:t>
      </w:r>
    </w:p>
    <w:p>
      <w:pPr>
        <w:spacing w:before="240" w:after="120"/>
      </w:pPr>
      <w:r>
        <w:rPr>
          <w:rFonts w:ascii="宋体" w:hAnsi="宋体" w:eastAsia="宋体"/>
          <w:b/>
          <w:sz w:val="28"/>
        </w:rPr>
        <w:t>4、本发明技术方案的详细阐述，应该结合流程图、原理框图、电路图、系统结构图进行说明（发明中每一功能的实现都要有相应的技术实现方案；所有附图都应该有详细的文字描述；方法专利都应该提供流程图，并提供相关的系统装置）。</w:t>
      </w:r>
    </w:p>
    <w:p>
      <w:pPr>
        <w:spacing w:line="360" w:lineRule="auto" w:after="80"/>
      </w:pPr>
      <w:r>
        <w:rPr>
          <w:rFonts w:ascii="宋体" w:hAnsi="宋体" w:eastAsia="宋体"/>
          <w:b/>
          <w:sz w:val="24"/>
        </w:rPr>
        <w:t>【撰写要求】</w:t>
      </w:r>
    </w:p>
    <w:p>
      <w:pPr>
        <w:spacing w:line="360" w:lineRule="auto" w:after="80"/>
      </w:pPr>
      <w:r>
        <w:rPr>
          <w:rFonts w:ascii="宋体" w:hAnsi="宋体" w:eastAsia="宋体"/>
          <w:b w:val="0"/>
          <w:sz w:val="24"/>
        </w:rPr>
        <w:t>本部分为专利申请最重要部分，需要详细提供；发明必须是一个技术方案，不能只有原理，也不能只做功能介绍；对于软件、业务方法，要提供流程图；必须结合流程图、原理框图、电路图、系统结构图等附图进行说明。</w:t>
      </w:r>
    </w:p>
    <w:p>
      <w:pPr>
        <w:spacing w:line="360" w:lineRule="auto" w:after="80"/>
        <w:ind w:firstLine="480"/>
      </w:pPr>
      <w:r>
        <w:rPr>
          <w:rFonts w:ascii="宋体" w:hAnsi="宋体" w:eastAsia="宋体"/>
          <w:b/>
          <w:sz w:val="24"/>
        </w:rPr>
        <w:t>结合附图，对本专利的技术方案进行描述：</w:t>
      </w:r>
    </w:p>
    <w:p>
      <w:pPr>
        <w:spacing w:line="360" w:lineRule="auto" w:after="80"/>
        <w:ind w:firstLine="480"/>
      </w:pPr>
      <w:r>
        <w:rPr>
          <w:rFonts w:ascii="宋体" w:hAnsi="宋体" w:eastAsia="宋体"/>
          <w:sz w:val="24"/>
        </w:rPr>
        <w:t>（1）总体技术路线：</w:t>
      </w:r>
    </w:p>
    <w:p>
      <w:pPr>
        <w:spacing w:line="360" w:lineRule="auto" w:after="80"/>
        <w:ind w:firstLine="480"/>
      </w:pPr>
      <w:r>
        <w:rPr>
          <w:rFonts w:ascii="宋体" w:hAnsi="宋体" w:eastAsia="宋体"/>
          <w:b/>
          <w:i w:val="0"/>
          <w:sz w:val="24"/>
        </w:rPr>
        <w:t>第一步：描述“这一次怎么打”。</w:t>
      </w:r>
      <w:r>
        <w:rPr>
          <w:rFonts w:ascii="宋体" w:hAnsi="宋体" w:eastAsia="宋体"/>
          <w:sz w:val="24"/>
        </w:rPr>
        <w:t>把脉冲能量/能流密度、脉宽、时间间隔、扫描位置、速度、填充间距、遍次等写入输入 uₙ。</w:t>
      </w:r>
    </w:p>
    <w:p>
      <w:pPr>
        <w:spacing w:line="360" w:lineRule="auto" w:after="80"/>
        <w:ind w:firstLine="480"/>
      </w:pPr>
      <w:r>
        <w:rPr>
          <w:rFonts w:ascii="宋体" w:hAnsi="宋体" w:eastAsia="宋体"/>
          <w:b/>
          <w:i w:val="0"/>
          <w:sz w:val="24"/>
        </w:rPr>
        <w:t>第二步：描述“现在是什么状态”。</w:t>
      </w:r>
      <w:r>
        <w:rPr>
          <w:rFonts w:ascii="宋体" w:hAnsi="宋体" w:eastAsia="宋体"/>
          <w:sz w:val="24"/>
        </w:rPr>
        <w:t>Hₙ 保存可见几何，Zₙ 保存不能由当前几何唯一确定的历史信息。</w:t>
      </w:r>
    </w:p>
    <w:p>
      <w:pPr>
        <w:spacing w:line="360" w:lineRule="auto" w:after="80"/>
        <w:ind w:firstLine="480"/>
      </w:pPr>
      <w:r>
        <w:rPr>
          <w:rFonts w:ascii="宋体" w:hAnsi="宋体" w:eastAsia="宋体"/>
          <w:b/>
          <w:i w:val="0"/>
          <w:sz w:val="24"/>
        </w:rPr>
        <w:t>第三步：计算“这一次怎么去除”。</w:t>
      </w:r>
      <w:r>
        <w:rPr>
          <w:rFonts w:ascii="宋体" w:hAnsi="宋体" w:eastAsia="宋体"/>
          <w:sz w:val="24"/>
        </w:rPr>
        <w:t>门控函数根据 Hₙ、Zₙ、uₙ 给多个材料去除状态子模型分配权重，组合得到当前去除增量 ΔHₙ，并同步更新 H 与 Z。</w:t>
      </w:r>
    </w:p>
    <w:p>
      <w:pPr>
        <w:spacing w:line="360" w:lineRule="auto" w:after="80"/>
        <w:ind w:firstLine="480"/>
      </w:pPr>
      <w:r>
        <w:rPr>
          <w:rFonts w:ascii="宋体" w:hAnsi="宋体" w:eastAsia="宋体"/>
          <w:b/>
          <w:i w:val="0"/>
          <w:sz w:val="24"/>
        </w:rPr>
        <w:t>第四步：用实验把模型拉回现实。</w:t>
      </w:r>
      <w:r>
        <w:rPr>
          <w:rFonts w:ascii="宋体" w:hAnsi="宋体" w:eastAsia="宋体"/>
          <w:sz w:val="24"/>
        </w:rPr>
        <w:t>加工结束后，将预测形貌 H_N 通过与实验一致的观测算子转换为线宽/线深或槽深/Sa/Sq/Sz，并使用实测压缩观测联合校准参数。</w:t>
      </w:r>
    </w:p>
    <w:p>
      <w:pPr>
        <w:spacing w:line="360" w:lineRule="auto" w:after="80"/>
        <w:ind w:firstLine="480"/>
      </w:pPr>
      <w:r>
        <w:rPr>
          <w:rFonts w:ascii="宋体" w:hAnsi="宋体" w:eastAsia="宋体"/>
          <w:b/>
          <w:i w:val="0"/>
          <w:sz w:val="24"/>
        </w:rPr>
        <w:t>形式化地说，</w:t>
      </w:r>
      <w:r>
        <w:rPr>
          <w:rFonts w:ascii="宋体" w:hAnsi="宋体" w:eastAsia="宋体"/>
          <w:sz w:val="24"/>
        </w:rPr>
        <w:t>本发明构建“微观状态转移模型—多尺度实验观测联合约束”框架。对每个脉冲或等效局部激光作用事件，模型同时维护 Hₙ 与 Zₙ，依据 Hₙ、Zₙ 和 uₙ 计算材料去除状态子模型的贡献权重，得到当前材料去除增量并同步更新两类状态；加工结束后，再把最终形貌通过单线观测算子和槽观测算子转换为与共聚焦实验同定义的压缩观测量，利用两类数据共同训练或反演模型参数。</w:t>
      </w:r>
    </w:p>
    <w:p>
      <w:pPr>
        <w:spacing w:line="360" w:lineRule="auto" w:after="80"/>
        <w:ind w:firstLine="480"/>
      </w:pPr>
      <w:r>
        <w:rPr>
          <w:rFonts w:ascii="宋体" w:hAnsi="宋体" w:eastAsia="宋体"/>
          <w:sz w:val="24"/>
        </w:rPr>
        <w:drawing>
          <wp:inline distT="0" distB="0" distL="114300" distR="114300">
            <wp:extent cx="5759450" cy="3239770"/>
            <wp:effectExtent l="0" t="0" r="1270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60000" cy="3240000"/>
                    </a:xfrm>
                    <a:prstGeom prst="rect">
                      <a:avLst/>
                    </a:prstGeom>
                  </pic:spPr>
                </pic:pic>
              </a:graphicData>
            </a:graphic>
          </wp:inline>
        </w:drawing>
      </w:r>
    </w:p>
    <w:p>
      <w:pPr>
        <w:spacing w:line="360" w:lineRule="auto" w:after="80"/>
        <w:ind w:firstLine="480"/>
      </w:pPr>
      <w:r>
        <w:rPr>
          <w:rFonts w:ascii="宋体" w:hAnsi="宋体" w:eastAsia="宋体"/>
          <w:b/>
          <w:sz w:val="19"/>
        </w:rPr>
        <w:t>图2  双状态—机制门控的逐脉冲递推结构</w:t>
      </w:r>
    </w:p>
    <w:p>
      <w:pPr>
        <w:spacing w:line="360" w:lineRule="auto" w:after="80"/>
        <w:ind w:firstLine="480"/>
      </w:pPr>
      <w:r>
        <w:rPr>
          <w:rFonts w:ascii="宋体" w:hAnsi="宋体" w:eastAsia="宋体"/>
          <w:sz w:val="24"/>
        </w:rPr>
        <w:t>（2）输入变量及双状态定义：</w:t>
      </w:r>
    </w:p>
    <w:p>
      <w:pPr>
        <w:spacing w:line="360" w:lineRule="auto" w:after="80"/>
        <w:ind w:firstLine="480"/>
      </w:pPr>
      <w:r>
        <w:rPr>
          <w:rFonts w:ascii="宋体" w:hAnsi="宋体" w:eastAsia="宋体"/>
          <w:sz w:val="21"/>
        </w:rPr>
        <w:t>对第 n 个脉冲，定义输入向量 uₙ，可包括脉冲能量或局部能流密度、脉宽、波长、偏振、重复频率/脉冲时间间隔、扫描位置、扫描速度、填充间距、当前遍次、局部入射角等。平均功率固定的现有实验中，可由 P=5.3333 W 和重复频率 f 计算单脉冲能量 E_p=P/f，并根据扫描速度计算沿程脉冲间距。</w:t>
      </w:r>
    </w:p>
    <w:p>
      <w:pPr>
        <w:spacing w:line="360" w:lineRule="auto" w:after="80"/>
        <w:ind w:firstLine="480"/>
      </w:pPr>
      <w:r>
        <w:rPr>
          <w:rFonts w:ascii="Cambria Math" w:hAnsi="Cambria Math" w:eastAsia="Cambria Math"/>
          <w:sz w:val="22"/>
        </w:rPr>
        <w:t>uₙ = { Fₙ 或 Eₚ, τₚ, Δtₙ, λ, pol, xₙ, yₙ, v, h, pass, … }</w:t>
      </w:r>
    </w:p>
    <w:p>
      <w:pPr>
        <w:spacing w:line="360" w:lineRule="auto" w:after="80"/>
        <w:ind w:firstLine="480"/>
      </w:pPr>
      <w:r>
        <w:rPr>
          <w:rFonts w:ascii="宋体" w:hAnsi="宋体" w:eastAsia="宋体"/>
          <w:sz w:val="21"/>
        </w:rPr>
        <w:t>表面形貌状态 Hₙ：表征第 n 个脉冲前材料表面几何，可为二维/三维高度场，也可采用局部深度、坡度、曲率、频域特征或神经编码向量。</w:t>
      </w:r>
    </w:p>
    <w:p>
      <w:pPr>
        <w:spacing w:line="360" w:lineRule="auto" w:after="80"/>
        <w:ind w:firstLine="480"/>
      </w:pPr>
      <w:r>
        <w:rPr>
          <w:rFonts w:ascii="宋体" w:hAnsi="宋体" w:eastAsia="宋体"/>
          <w:sz w:val="21"/>
        </w:rPr>
        <w:t>历史材料状态 Zₙ：由先前脉冲历史正向递推得到，且不是 Hₙ 的简单复制或仅由当前形貌编码得到。Zₙ 可为标量、向量或空间场。其分量在实施例中可解释为孵化/材料弱化状态 Cₙ、残余热状态 Θₙ、光学/结构状态 Qₙ 等，但独立保护不限定具体物理名称。</w:t>
      </w:r>
    </w:p>
    <w:p>
      <w:pPr>
        <w:spacing w:line="360" w:lineRule="auto" w:after="80"/>
        <w:ind w:firstLine="480"/>
      </w:pPr>
      <w:r>
        <w:rPr>
          <w:rFonts w:ascii="Cambria Math" w:hAnsi="Cambria Math" w:eastAsia="Cambria Math"/>
          <w:sz w:val="22"/>
        </w:rPr>
        <w:t>Sₙ = (Hₙ, Zₙ)</w:t>
      </w:r>
    </w:p>
    <w:p>
      <w:pPr>
        <w:spacing w:line="360" w:lineRule="auto" w:after="80"/>
        <w:ind w:firstLine="480"/>
      </w:pPr>
      <w:r>
        <w:rPr>
          <w:rFonts w:ascii="Cambria Math" w:hAnsi="Cambria Math" w:eastAsia="Cambria Math"/>
          <w:sz w:val="22"/>
        </w:rPr>
        <w:t>Zₙ₊₁ = S_θ(Zₙ, Hₙ, uₙ, Δtₙ)</w:t>
      </w:r>
    </w:p>
    <w:p>
      <w:pPr>
        <w:spacing w:line="360" w:lineRule="auto" w:after="80"/>
        <w:ind w:firstLine="480"/>
      </w:pPr>
      <w:r>
        <w:rPr>
          <w:rFonts w:ascii="宋体" w:hAnsi="宋体" w:eastAsia="宋体"/>
          <w:sz w:val="21"/>
        </w:rPr>
        <w:t>一种低维可实施形式为：</w:t>
      </w:r>
    </w:p>
    <w:p>
      <w:pPr>
        <w:spacing w:line="360" w:lineRule="auto" w:after="80"/>
        <w:ind w:firstLine="480"/>
      </w:pPr>
      <w:r>
        <w:rPr>
          <w:rFonts w:ascii="Cambria Math" w:hAnsi="Cambria Math" w:eastAsia="Cambria Math"/>
          <w:sz w:val="22"/>
        </w:rPr>
        <w:t>Cₙ₊₁ = exp(-Δtₙ/T_C)·Cₙ + Φ_C(Fₙ, τₚ, Hₙ)</w:t>
      </w:r>
    </w:p>
    <w:p>
      <w:pPr>
        <w:spacing w:line="360" w:lineRule="auto" w:after="80"/>
        <w:ind w:firstLine="480"/>
      </w:pPr>
      <w:r>
        <w:rPr>
          <w:rFonts w:ascii="Cambria Math" w:hAnsi="Cambria Math" w:eastAsia="Cambria Math"/>
          <w:sz w:val="22"/>
        </w:rPr>
        <w:t>Θₙ₊₁ = exp(-Δtₙ/T_T)·Θₙ + Φ_T(Fₙ, τₚ, Hₙ)</w:t>
      </w:r>
    </w:p>
    <w:p>
      <w:pPr>
        <w:spacing w:line="360" w:lineRule="auto" w:after="80"/>
        <w:ind w:firstLine="480"/>
      </w:pPr>
      <w:r>
        <w:rPr>
          <w:rFonts w:ascii="宋体" w:hAnsi="宋体" w:eastAsia="宋体"/>
          <w:sz w:val="21"/>
        </w:rPr>
        <w:t>上述形式仅为实施例。实际可通过状态空间网络、循环神经网络、Koopman 表征、神经算子、稀疏动力学识别或参数化经验公式实现。</w:t>
      </w:r>
    </w:p>
    <w:p>
      <w:pPr>
        <w:spacing w:line="360" w:lineRule="auto" w:after="80"/>
        <w:ind w:firstLine="480"/>
      </w:pPr>
      <w:r>
        <w:rPr>
          <w:rFonts w:ascii="宋体" w:hAnsi="宋体" w:eastAsia="宋体"/>
          <w:sz w:val="24"/>
        </w:rPr>
        <w:t>（3）历史状态驱动的材料去除状态门控：</w:t>
      </w:r>
    </w:p>
    <w:p>
      <w:pPr>
        <w:spacing w:line="360" w:lineRule="auto" w:after="80"/>
        <w:ind w:firstLine="480"/>
      </w:pPr>
      <w:r>
        <w:rPr>
          <w:rFonts w:ascii="宋体" w:hAnsi="宋体" w:eastAsia="宋体"/>
          <w:sz w:val="21"/>
        </w:rPr>
        <w:t>为避免用一个固定经验公式覆盖所有脉冲阶段，本发明设置 M 个材料去除状态子模型 A₁…A_M。门控函数根据 Hₙ、Zₙ、uₙ 计算权重：</w:t>
      </w:r>
    </w:p>
    <w:p>
      <w:pPr>
        <w:spacing w:line="360" w:lineRule="auto" w:after="80"/>
        <w:ind w:firstLine="480"/>
      </w:pPr>
      <w:r>
        <w:rPr>
          <w:rFonts w:ascii="Cambria Math" w:hAnsi="Cambria Math" w:eastAsia="Cambria Math"/>
          <w:sz w:val="22"/>
        </w:rPr>
        <w:t>πₙ = G_θ(Hₙ, Zₙ, uₙ),    πₘ,ₙ ≥ 0,    Σₘπₘ,ₙ = 1</w:t>
      </w:r>
    </w:p>
    <w:p>
      <w:pPr>
        <w:spacing w:line="360" w:lineRule="auto" w:after="80"/>
        <w:ind w:firstLine="480"/>
      </w:pPr>
      <w:r>
        <w:rPr>
          <w:rFonts w:ascii="宋体" w:hAnsi="宋体" w:eastAsia="宋体"/>
          <w:sz w:val="21"/>
        </w:rPr>
        <w:t>当前脉冲材料去除增量为：</w:t>
      </w:r>
    </w:p>
    <w:p>
      <w:pPr>
        <w:spacing w:line="360" w:lineRule="auto" w:after="80"/>
        <w:ind w:firstLine="480"/>
      </w:pPr>
      <w:r>
        <w:rPr>
          <w:rFonts w:ascii="Cambria Math" w:hAnsi="Cambria Math" w:eastAsia="Cambria Math"/>
          <w:sz w:val="22"/>
        </w:rPr>
        <w:t>ΔHₙ = Σₘ πₘ,ₙ · Aₘ(Hₙ, Zₙ, uₙ)</w:t>
      </w:r>
    </w:p>
    <w:p>
      <w:pPr>
        <w:spacing w:line="360" w:lineRule="auto" w:after="80"/>
        <w:ind w:firstLine="480"/>
      </w:pPr>
      <w:r>
        <w:rPr>
          <w:rFonts w:ascii="Cambria Math" w:hAnsi="Cambria Math" w:eastAsia="Cambria Math"/>
          <w:sz w:val="22"/>
        </w:rPr>
        <w:t>Hₙ₊₁ = U(Hₙ, ΔHₙ)</w:t>
      </w:r>
    </w:p>
    <w:p>
      <w:pPr>
        <w:spacing w:line="360" w:lineRule="auto" w:after="80"/>
        <w:ind w:firstLine="480"/>
      </w:pPr>
      <w:r>
        <w:rPr>
          <w:rFonts w:ascii="宋体" w:hAnsi="宋体" w:eastAsia="宋体"/>
          <w:sz w:val="21"/>
        </w:rPr>
        <w:t>Aₘ 可以采用不同的阈值—对数烧蚀表达、TRM、基于双温/能量沉积的工程模型、数据驱动局部响应模型或其组合。为避免权利要求被具体机理限制，优选使用“不同材料去除状态子模型”的表述；spallation、phase-explosion-like、热/熔融去除等仅可作为说明书实施例或后续有直接诊断证据时的物理解释。</w:t>
      </w:r>
    </w:p>
    <w:p>
      <w:pPr>
        <w:spacing w:line="360" w:lineRule="auto" w:after="80"/>
        <w:ind w:firstLine="480"/>
      </w:pPr>
      <w:r>
        <w:rPr>
          <w:rFonts w:ascii="宋体" w:hAnsi="宋体" w:eastAsia="宋体"/>
          <w:sz w:val="24"/>
        </w:rPr>
        <w:t>（4）压缩观测与多尺度联合约束：</w:t>
      </w:r>
    </w:p>
    <w:p>
      <w:pPr>
        <w:spacing w:line="360" w:lineRule="auto" w:after="80"/>
        <w:ind w:firstLine="480"/>
      </w:pPr>
      <w:r>
        <w:rPr>
          <w:rFonts w:ascii="宋体" w:hAnsi="宋体" w:eastAsia="宋体"/>
          <w:sz w:val="21"/>
        </w:rPr>
        <w:t>现有单线和槽实验均由激光共聚焦获得点云 CSV。为了在保留可重复物理定义的同时降低训练维度，本发明优选对点云进行统一预处理并提取压缩观测量。原始点云不作为必须输入，可作为可选高保真约束。</w:t>
      </w:r>
    </w:p>
    <w:p>
      <w:pPr>
        <w:spacing w:line="360" w:lineRule="auto" w:after="80"/>
        <w:ind w:firstLine="480"/>
      </w:pPr>
      <w:r>
        <w:rPr>
          <w:rFonts w:ascii="宋体" w:hAnsi="宋体" w:eastAsia="宋体"/>
          <w:sz w:val="21"/>
        </w:rPr>
        <w:t>对每个点云选择未加工区域拟合参考平面或低阶参考曲面，消除样品装夹倾斜和整体形貌偏置；</w:t>
      </w:r>
    </w:p>
    <w:p>
      <w:pPr>
        <w:spacing w:line="360" w:lineRule="auto" w:after="80"/>
        <w:ind w:firstLine="480"/>
      </w:pPr>
      <w:r>
        <w:rPr>
          <w:rFonts w:ascii="宋体" w:hAnsi="宋体" w:eastAsia="宋体"/>
          <w:sz w:val="21"/>
        </w:rPr>
        <w:t>剔除无效反射点、孤立异常点，采用统一插值/重采样规则；</w:t>
      </w:r>
    </w:p>
    <w:p>
      <w:pPr>
        <w:spacing w:line="360" w:lineRule="auto" w:after="80"/>
        <w:ind w:firstLine="480"/>
      </w:pPr>
      <w:r>
        <w:rPr>
          <w:rFonts w:ascii="宋体" w:hAnsi="宋体" w:eastAsia="宋体"/>
          <w:sz w:val="21"/>
        </w:rPr>
        <w:t>单线数据：在规定的稳定扫描区域提取线宽 w_line 与线深 d_line；线宽阈值和深度基准应固定，避免随样本人为调整；</w:t>
      </w:r>
    </w:p>
    <w:p>
      <w:pPr>
        <w:spacing w:line="360" w:lineRule="auto" w:after="80"/>
        <w:ind w:firstLine="480"/>
      </w:pPr>
      <w:r>
        <w:rPr>
          <w:rFonts w:ascii="宋体" w:hAnsi="宋体" w:eastAsia="宋体"/>
          <w:sz w:val="21"/>
        </w:rPr>
        <w:t>槽数据：在规定评价区域提取平均/特征槽深 d_groove，并按照统一标准计算 Sa、Sq、Sz；可附加最大/最小深度、去除体积等从属观测；</w:t>
      </w:r>
    </w:p>
    <w:p>
      <w:pPr>
        <w:spacing w:line="360" w:lineRule="auto" w:after="80"/>
        <w:ind w:firstLine="480"/>
      </w:pPr>
      <w:r>
        <w:rPr>
          <w:rFonts w:ascii="宋体" w:hAnsi="宋体" w:eastAsia="宋体"/>
          <w:sz w:val="21"/>
        </w:rPr>
        <w:t>同一材料所有样本使用同一预处理和压缩规则，以确保实验观测算子与模型观测算子一致。</w:t>
      </w:r>
    </w:p>
    <w:p>
      <w:pPr>
        <w:spacing w:line="360" w:lineRule="auto" w:after="80"/>
        <w:ind w:firstLine="480"/>
      </w:pPr>
      <w:r>
        <w:rPr>
          <w:rFonts w:ascii="宋体" w:hAnsi="宋体" w:eastAsia="宋体"/>
          <w:sz w:val="21"/>
        </w:rPr>
        <w:t>定义单线与槽观测向量：</w:t>
      </w:r>
    </w:p>
    <w:p>
      <w:pPr>
        <w:spacing w:line="360" w:lineRule="auto" w:after="80"/>
        <w:ind w:firstLine="480"/>
      </w:pPr>
      <w:r>
        <w:rPr>
          <w:rFonts w:ascii="Cambria Math" w:hAnsi="Cambria Math" w:eastAsia="Cambria Math"/>
          <w:sz w:val="22"/>
        </w:rPr>
        <w:t>Y_line = [ w_line, d_line ]</w:t>
      </w:r>
    </w:p>
    <w:p>
      <w:pPr>
        <w:spacing w:line="360" w:lineRule="auto" w:after="80"/>
        <w:ind w:firstLine="480"/>
      </w:pPr>
      <w:r>
        <w:rPr>
          <w:rFonts w:ascii="Cambria Math" w:hAnsi="Cambria Math" w:eastAsia="Cambria Math"/>
          <w:sz w:val="22"/>
        </w:rPr>
        <w:t>Y_groove = [ d_groove, S_a, S_q, S_z ]</w:t>
      </w:r>
    </w:p>
    <w:p>
      <w:pPr>
        <w:spacing w:line="360" w:lineRule="auto" w:after="80"/>
        <w:ind w:firstLine="480"/>
      </w:pPr>
      <w:r>
        <w:rPr>
          <w:rFonts w:ascii="宋体" w:hAnsi="宋体" w:eastAsia="宋体"/>
          <w:sz w:val="21"/>
        </w:rPr>
        <w:t>模型预测最终形貌 H_N 后，通过与实验同定义的观测算子得到：</w:t>
      </w:r>
    </w:p>
    <w:p>
      <w:pPr>
        <w:spacing w:line="360" w:lineRule="auto" w:after="80"/>
        <w:ind w:firstLine="480"/>
      </w:pPr>
      <w:r>
        <w:rPr>
          <w:rFonts w:ascii="Cambria Math" w:hAnsi="Cambria Math" w:eastAsia="Cambria Math"/>
          <w:sz w:val="22"/>
        </w:rPr>
        <w:t>Ŷ_line = O_line(H_N),     Ŷ_groove = O_groove(H_N)</w:t>
      </w:r>
    </w:p>
    <w:p>
      <w:pPr>
        <w:spacing w:line="360" w:lineRule="auto" w:after="80"/>
        <w:ind w:firstLine="480"/>
      </w:pPr>
      <w:r>
        <w:rPr>
          <w:rFonts w:ascii="宋体" w:hAnsi="宋体" w:eastAsia="宋体"/>
          <w:sz w:val="24"/>
        </w:rPr>
        <w:drawing>
          <wp:inline distT="0" distB="0" distL="114300" distR="114300">
            <wp:extent cx="5759450" cy="3239770"/>
            <wp:effectExtent l="0" t="0" r="1270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60000" cy="3240000"/>
                    </a:xfrm>
                    <a:prstGeom prst="rect">
                      <a:avLst/>
                    </a:prstGeom>
                  </pic:spPr>
                </pic:pic>
              </a:graphicData>
            </a:graphic>
          </wp:inline>
        </w:drawing>
      </w:r>
    </w:p>
    <w:p>
      <w:pPr>
        <w:spacing w:line="360" w:lineRule="auto" w:after="80"/>
        <w:ind w:firstLine="480"/>
      </w:pPr>
      <w:r>
        <w:rPr>
          <w:rFonts w:ascii="宋体" w:hAnsi="宋体" w:eastAsia="宋体"/>
          <w:b/>
          <w:sz w:val="19"/>
        </w:rPr>
        <w:t>图3  共聚焦点云压缩观测及多尺度联合校准</w:t>
      </w:r>
    </w:p>
    <w:p>
      <w:pPr>
        <w:spacing w:line="360" w:lineRule="auto" w:after="80"/>
        <w:ind w:firstLine="480"/>
      </w:pPr>
      <w:r>
        <w:rPr>
          <w:rFonts w:ascii="宋体" w:hAnsi="宋体" w:eastAsia="宋体"/>
          <w:sz w:val="21"/>
        </w:rPr>
        <w:t>本发明并不声称单线宽/深或槽粗糙度能够唯一识别某一微观去除机制，而是利用二者对模型参数提供不同信息方向的联合约束：</w:t>
      </w:r>
    </w:p>
    <w:p>
      <w:pPr>
        <w:spacing w:line="360" w:lineRule="auto" w:after="80"/>
        <w:ind w:firstLine="480"/>
      </w:pPr>
      <w:r>
        <w:rPr>
          <w:rFonts w:ascii="宋体" w:hAnsi="宋体" w:eastAsia="宋体"/>
          <w:sz w:val="21"/>
        </w:rPr>
        <w:t>通过上述多尺度约束，同一模型参数必须同时解释局部单线响应和宏观槽加工结果，从而降低仅用槽深训练时的参数不唯一性。</w:t>
      </w:r>
    </w:p>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0"/>
              </w:rPr>
              <w:t>压缩观测</w:t>
            </w:r>
          </w:p>
        </w:tc>
        <w:tc>
          <w:tcPr>
            <w:tcW w:type="dxa" w:w="2882"/>
          </w:tcPr>
          <w:p>
            <w:r/>
            <w:r>
              <w:rPr>
                <w:rFonts w:ascii="宋体" w:hAnsi="宋体" w:eastAsia="宋体"/>
                <w:b w:val="0"/>
                <w:sz w:val="20"/>
              </w:rPr>
              <w:t>主要物理信息</w:t>
            </w:r>
          </w:p>
        </w:tc>
        <w:tc>
          <w:tcPr>
            <w:tcW w:type="dxa" w:w="2882"/>
          </w:tcPr>
          <w:p>
            <w:r/>
            <w:r>
              <w:rPr>
                <w:rFonts w:ascii="宋体" w:hAnsi="宋体" w:eastAsia="宋体"/>
                <w:b w:val="0"/>
                <w:sz w:val="20"/>
              </w:rPr>
              <w:t>主要约束对象</w:t>
            </w:r>
          </w:p>
        </w:tc>
      </w:tr>
      <w:tr>
        <w:tc>
          <w:tcPr>
            <w:tcW w:type="dxa" w:w="2882"/>
          </w:tcPr>
          <w:p>
            <w:r/>
            <w:r>
              <w:rPr>
                <w:rFonts w:ascii="宋体" w:hAnsi="宋体" w:eastAsia="宋体"/>
                <w:b w:val="0"/>
                <w:sz w:val="20"/>
              </w:rPr>
              <w:t>单线宽度 w</w:t>
            </w:r>
          </w:p>
        </w:tc>
        <w:tc>
          <w:tcPr>
            <w:tcW w:type="dxa" w:w="2882"/>
          </w:tcPr>
          <w:p>
            <w:r/>
            <w:r>
              <w:rPr>
                <w:rFonts w:ascii="宋体" w:hAnsi="宋体" w:eastAsia="宋体"/>
                <w:b w:val="0"/>
                <w:sz w:val="20"/>
              </w:rPr>
              <w:t>约束横向有效作用区、阈值/光斑与局部表面耦合</w:t>
            </w:r>
          </w:p>
        </w:tc>
        <w:tc>
          <w:tcPr>
            <w:tcW w:type="dxa" w:w="2882"/>
          </w:tcPr>
          <w:p>
            <w:r/>
            <w:r>
              <w:rPr>
                <w:rFonts w:ascii="宋体" w:hAnsi="宋体" w:eastAsia="宋体"/>
                <w:b w:val="0"/>
                <w:sz w:val="20"/>
              </w:rPr>
              <w:t>主要约束局部去除子模型 Aₘ</w:t>
            </w:r>
          </w:p>
        </w:tc>
      </w:tr>
      <w:tr>
        <w:tc>
          <w:tcPr>
            <w:tcW w:type="dxa" w:w="2882"/>
          </w:tcPr>
          <w:p>
            <w:r/>
            <w:r>
              <w:rPr>
                <w:rFonts w:ascii="宋体" w:hAnsi="宋体" w:eastAsia="宋体"/>
                <w:b w:val="0"/>
                <w:sz w:val="20"/>
              </w:rPr>
              <w:t>单线深度 d</w:t>
            </w:r>
          </w:p>
        </w:tc>
        <w:tc>
          <w:tcPr>
            <w:tcW w:type="dxa" w:w="2882"/>
          </w:tcPr>
          <w:p>
            <w:r/>
            <w:r>
              <w:rPr>
                <w:rFonts w:ascii="宋体" w:hAnsi="宋体" w:eastAsia="宋体"/>
                <w:b w:val="0"/>
                <w:sz w:val="20"/>
              </w:rPr>
              <w:t>约束单次扫描/低维累积的纵向材料去除能力</w:t>
            </w:r>
          </w:p>
        </w:tc>
        <w:tc>
          <w:tcPr>
            <w:tcW w:type="dxa" w:w="2882"/>
          </w:tcPr>
          <w:p>
            <w:r/>
            <w:r>
              <w:rPr>
                <w:rFonts w:ascii="宋体" w:hAnsi="宋体" w:eastAsia="宋体"/>
                <w:b w:val="0"/>
                <w:sz w:val="20"/>
              </w:rPr>
              <w:t>主要约束 Aₘ 的深度响应和部分 Z 更新参数</w:t>
            </w:r>
          </w:p>
        </w:tc>
      </w:tr>
      <w:tr>
        <w:tc>
          <w:tcPr>
            <w:tcW w:type="dxa" w:w="2882"/>
          </w:tcPr>
          <w:p>
            <w:r/>
            <w:r>
              <w:rPr>
                <w:rFonts w:ascii="宋体" w:hAnsi="宋体" w:eastAsia="宋体"/>
                <w:b w:val="0"/>
                <w:sz w:val="20"/>
              </w:rPr>
              <w:t>槽深 d_groove</w:t>
            </w:r>
          </w:p>
        </w:tc>
        <w:tc>
          <w:tcPr>
            <w:tcW w:type="dxa" w:w="2882"/>
          </w:tcPr>
          <w:p>
            <w:r/>
            <w:r>
              <w:rPr>
                <w:rFonts w:ascii="宋体" w:hAnsi="宋体" w:eastAsia="宋体"/>
                <w:b w:val="0"/>
                <w:sz w:val="20"/>
              </w:rPr>
              <w:t>约束多线、多脉冲、多遍加工的累计去除能力</w:t>
            </w:r>
          </w:p>
        </w:tc>
        <w:tc>
          <w:tcPr>
            <w:tcW w:type="dxa" w:w="2882"/>
          </w:tcPr>
          <w:p>
            <w:r/>
            <w:r>
              <w:rPr>
                <w:rFonts w:ascii="宋体" w:hAnsi="宋体" w:eastAsia="宋体"/>
                <w:b w:val="0"/>
                <w:sz w:val="20"/>
              </w:rPr>
              <w:t>强约束 Zₙ 的历史累积/恢复及门控</w:t>
            </w:r>
          </w:p>
        </w:tc>
      </w:tr>
      <w:tr>
        <w:tc>
          <w:tcPr>
            <w:tcW w:type="dxa" w:w="2882"/>
          </w:tcPr>
          <w:p>
            <w:r/>
            <w:r>
              <w:rPr>
                <w:rFonts w:ascii="宋体" w:hAnsi="宋体" w:eastAsia="宋体"/>
                <w:b w:val="0"/>
                <w:sz w:val="20"/>
              </w:rPr>
              <w:t>Sa/Sq/Sz</w:t>
            </w:r>
          </w:p>
        </w:tc>
        <w:tc>
          <w:tcPr>
            <w:tcW w:type="dxa" w:w="2882"/>
          </w:tcPr>
          <w:p>
            <w:r/>
            <w:r>
              <w:rPr>
                <w:rFonts w:ascii="宋体" w:hAnsi="宋体" w:eastAsia="宋体"/>
                <w:b w:val="0"/>
                <w:sz w:val="20"/>
              </w:rPr>
              <w:t>约束空间去除均匀性、局部极值和状态竞争结果</w:t>
            </w:r>
          </w:p>
        </w:tc>
        <w:tc>
          <w:tcPr>
            <w:tcW w:type="dxa" w:w="2882"/>
          </w:tcPr>
          <w:p>
            <w:r/>
            <w:r>
              <w:rPr>
                <w:rFonts w:ascii="宋体" w:hAnsi="宋体" w:eastAsia="宋体"/>
                <w:b w:val="0"/>
                <w:sz w:val="20"/>
              </w:rPr>
              <w:t>增强对门控权重、空间状态分布和非线性累积的可辨识性</w:t>
            </w:r>
          </w:p>
        </w:tc>
      </w:tr>
    </w:tbl>
    <w:p/>
    <w:p>
      <w:pPr>
        <w:spacing w:line="360" w:lineRule="auto" w:after="80"/>
        <w:ind w:firstLine="480"/>
      </w:pPr>
      <w:r>
        <w:rPr>
          <w:rFonts w:ascii="宋体" w:hAnsi="宋体" w:eastAsia="宋体"/>
          <w:sz w:val="24"/>
        </w:rPr>
        <w:t>（5）训练目标与算法实现：</w:t>
      </w:r>
    </w:p>
    <w:p>
      <w:pPr>
        <w:spacing w:line="360" w:lineRule="auto" w:after="80"/>
        <w:ind w:firstLine="480"/>
      </w:pPr>
      <w:r>
        <w:rPr>
          <w:rFonts w:ascii="宋体" w:hAnsi="宋体" w:eastAsia="宋体"/>
          <w:sz w:val="21"/>
        </w:rPr>
        <w:t>定义总体目标函数：</w:t>
      </w:r>
    </w:p>
    <w:p>
      <w:pPr>
        <w:spacing w:line="360" w:lineRule="auto" w:after="80"/>
        <w:ind w:firstLine="480"/>
      </w:pPr>
      <w:r>
        <w:rPr>
          <w:rFonts w:ascii="Cambria Math" w:hAnsi="Cambria Math" w:eastAsia="Cambria Math"/>
          <w:sz w:val="22"/>
        </w:rPr>
        <w:t>L = λ_L·L_line + λ_G·L_groove + λ_P·L_physics + λ_S·L_state + λ_M·L_gate</w:t>
      </w:r>
    </w:p>
    <w:p>
      <w:pPr>
        <w:spacing w:line="360" w:lineRule="auto" w:after="80"/>
        <w:ind w:firstLine="480"/>
      </w:pPr>
      <w:r>
        <w:rPr>
          <w:rFonts w:ascii="宋体" w:hAnsi="宋体" w:eastAsia="宋体"/>
          <w:sz w:val="21"/>
        </w:rPr>
        <w:t>其中：</w:t>
      </w:r>
    </w:p>
    <w:p>
      <w:pPr>
        <w:spacing w:line="360" w:lineRule="auto" w:after="80"/>
        <w:ind w:firstLine="480"/>
      </w:pPr>
      <w:r>
        <w:rPr>
          <w:rFonts w:ascii="宋体" w:hAnsi="宋体" w:eastAsia="宋体"/>
          <w:sz w:val="21"/>
        </w:rPr>
        <w:t>L_line：单线宽度和深度的归一化误差，可按测量不确定度或量纲归一化加权。</w:t>
      </w:r>
    </w:p>
    <w:p>
      <w:pPr>
        <w:spacing w:line="360" w:lineRule="auto" w:after="80"/>
        <w:ind w:firstLine="480"/>
      </w:pPr>
      <w:r>
        <w:rPr>
          <w:rFonts w:ascii="宋体" w:hAnsi="宋体" w:eastAsia="宋体"/>
          <w:sz w:val="21"/>
        </w:rPr>
        <w:t>L_groove：槽深、Sa、Sq、Sz 等宏观观测误差。</w:t>
      </w:r>
    </w:p>
    <w:p>
      <w:pPr>
        <w:spacing w:line="360" w:lineRule="auto" w:after="80"/>
        <w:ind w:firstLine="480"/>
      </w:pPr>
      <w:r>
        <w:rPr>
          <w:rFonts w:ascii="宋体" w:hAnsi="宋体" w:eastAsia="宋体"/>
          <w:sz w:val="21"/>
        </w:rPr>
        <w:t>L_physics：非负去除、阈值边界、能量/几何合理性等物理一致性约束；只加入有明确依据的单调性，不强行假设全工况单调。</w:t>
      </w:r>
    </w:p>
    <w:p>
      <w:pPr>
        <w:spacing w:line="360" w:lineRule="auto" w:after="80"/>
        <w:ind w:firstLine="480"/>
      </w:pPr>
      <w:r>
        <w:rPr>
          <w:rFonts w:ascii="宋体" w:hAnsi="宋体" w:eastAsia="宋体"/>
          <w:sz w:val="21"/>
        </w:rPr>
        <w:t>L_state：历史状态的有界性、平滑性、恢复时间尺度或稀疏性约束，防止 Zₙ 退化为任意记忆变量。</w:t>
      </w:r>
    </w:p>
    <w:p>
      <w:pPr>
        <w:spacing w:line="360" w:lineRule="auto" w:after="80"/>
        <w:ind w:firstLine="480"/>
      </w:pPr>
      <w:r>
        <w:rPr>
          <w:rFonts w:ascii="宋体" w:hAnsi="宋体" w:eastAsia="宋体"/>
          <w:sz w:val="21"/>
        </w:rPr>
        <w:t>L_gate：πₘ 非负、和为 1，以及必要时的熵/稀疏正则，防止多个子模型完全不可区分。</w:t>
      </w:r>
    </w:p>
    <w:p>
      <w:pPr>
        <w:spacing w:line="360" w:lineRule="auto" w:after="80"/>
        <w:ind w:firstLine="480"/>
      </w:pPr>
      <w:r>
        <w:rPr>
          <w:rFonts w:ascii="宋体" w:hAnsi="宋体" w:eastAsia="宋体"/>
          <w:sz w:val="21"/>
        </w:rPr>
        <w:t>一种优选训练方式为“分阶段初始化 + 联合微调”：首先使用单线数据粗标定局部去除子模型；再使用槽数据标定历史状态和门控；最后使用全部单线/槽数据联合微调。也可以采用交替优化、贝叶斯反演或端到端训练。</w:t>
      </w:r>
    </w:p>
    <w:p>
      <w:pPr>
        <w:spacing w:line="360" w:lineRule="auto" w:after="80"/>
        <w:ind w:firstLine="480"/>
      </w:pPr>
      <w:r>
        <w:rPr>
          <w:rFonts w:ascii="宋体" w:hAnsi="宋体" w:eastAsia="宋体"/>
          <w:sz w:val="21"/>
        </w:rPr>
        <w:t>独立权利要求优选限定输入输出关系、双状态定义、门控作用及多尺度观测联合约束，不限定上述任一具体 AI 名称。</w:t>
      </w:r>
    </w:p>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0"/>
              </w:rPr>
              <w:t>模块</w:t>
            </w:r>
          </w:p>
        </w:tc>
        <w:tc>
          <w:tcPr>
            <w:tcW w:type="dxa" w:w="2882"/>
          </w:tcPr>
          <w:p>
            <w:r/>
            <w:r>
              <w:rPr>
                <w:rFonts w:ascii="宋体" w:hAnsi="宋体" w:eastAsia="宋体"/>
                <w:b w:val="0"/>
                <w:sz w:val="20"/>
              </w:rPr>
              <w:t>可选算法</w:t>
            </w:r>
          </w:p>
        </w:tc>
        <w:tc>
          <w:tcPr>
            <w:tcW w:type="dxa" w:w="2882"/>
          </w:tcPr>
          <w:p>
            <w:r/>
            <w:r>
              <w:rPr>
                <w:rFonts w:ascii="宋体" w:hAnsi="宋体" w:eastAsia="宋体"/>
                <w:b w:val="0"/>
                <w:sz w:val="20"/>
              </w:rPr>
              <w:t>在本发明中的作用</w:t>
            </w:r>
          </w:p>
        </w:tc>
      </w:tr>
      <w:tr>
        <w:tc>
          <w:tcPr>
            <w:tcW w:type="dxa" w:w="2882"/>
          </w:tcPr>
          <w:p>
            <w:r/>
            <w:r>
              <w:rPr>
                <w:rFonts w:ascii="宋体" w:hAnsi="宋体" w:eastAsia="宋体"/>
                <w:b w:val="0"/>
                <w:sz w:val="20"/>
              </w:rPr>
              <w:t>历史状态更新 S_θ</w:t>
            </w:r>
          </w:p>
        </w:tc>
        <w:tc>
          <w:tcPr>
            <w:tcW w:type="dxa" w:w="2882"/>
          </w:tcPr>
          <w:p>
            <w:r/>
            <w:r>
              <w:rPr>
                <w:rFonts w:ascii="宋体" w:hAnsi="宋体" w:eastAsia="宋体"/>
                <w:b w:val="0"/>
                <w:sz w:val="20"/>
              </w:rPr>
              <w:t>状态空间模型、GRU/LSTM、Mamba/SSM、Koopman latent model、神经 ODE、符号回归/SINDy</w:t>
            </w:r>
          </w:p>
        </w:tc>
        <w:tc>
          <w:tcPr>
            <w:tcW w:type="dxa" w:w="2882"/>
          </w:tcPr>
          <w:p>
            <w:r/>
            <w:r>
              <w:rPr>
                <w:rFonts w:ascii="宋体" w:hAnsi="宋体" w:eastAsia="宋体"/>
                <w:b w:val="0"/>
                <w:sz w:val="20"/>
              </w:rPr>
              <w:t>用于学习不可直接测量的脉冲历史材料状态</w:t>
            </w:r>
          </w:p>
        </w:tc>
      </w:tr>
      <w:tr>
        <w:tc>
          <w:tcPr>
            <w:tcW w:type="dxa" w:w="2882"/>
          </w:tcPr>
          <w:p>
            <w:r/>
            <w:r>
              <w:rPr>
                <w:rFonts w:ascii="宋体" w:hAnsi="宋体" w:eastAsia="宋体"/>
                <w:b w:val="0"/>
                <w:sz w:val="20"/>
              </w:rPr>
              <w:t>门控 G_θ</w:t>
            </w:r>
          </w:p>
        </w:tc>
        <w:tc>
          <w:tcPr>
            <w:tcW w:type="dxa" w:w="2882"/>
          </w:tcPr>
          <w:p>
            <w:r/>
            <w:r>
              <w:rPr>
                <w:rFonts w:ascii="宋体" w:hAnsi="宋体" w:eastAsia="宋体"/>
                <w:b w:val="0"/>
                <w:sz w:val="20"/>
              </w:rPr>
              <w:t>Mixture-of-Experts 门控、小型 MLP、逻辑/Softmax 门控、可解释决策树</w:t>
            </w:r>
          </w:p>
        </w:tc>
        <w:tc>
          <w:tcPr>
            <w:tcW w:type="dxa" w:w="2882"/>
          </w:tcPr>
          <w:p>
            <w:r/>
            <w:r>
              <w:rPr>
                <w:rFonts w:ascii="宋体" w:hAnsi="宋体" w:eastAsia="宋体"/>
                <w:b w:val="0"/>
                <w:sz w:val="20"/>
              </w:rPr>
              <w:t>依据 H/Z/u 分配不同材料去除状态子模型权重</w:t>
            </w:r>
          </w:p>
        </w:tc>
      </w:tr>
      <w:tr>
        <w:tc>
          <w:tcPr>
            <w:tcW w:type="dxa" w:w="2882"/>
          </w:tcPr>
          <w:p>
            <w:r/>
            <w:r>
              <w:rPr>
                <w:rFonts w:ascii="宋体" w:hAnsi="宋体" w:eastAsia="宋体"/>
                <w:b w:val="0"/>
                <w:sz w:val="20"/>
              </w:rPr>
              <w:t>形貌/场映射</w:t>
            </w:r>
          </w:p>
        </w:tc>
        <w:tc>
          <w:tcPr>
            <w:tcW w:type="dxa" w:w="2882"/>
          </w:tcPr>
          <w:p>
            <w:r/>
            <w:r>
              <w:rPr>
                <w:rFonts w:ascii="宋体" w:hAnsi="宋体" w:eastAsia="宋体"/>
                <w:b w:val="0"/>
                <w:sz w:val="20"/>
              </w:rPr>
              <w:t>CNN/U-Net、FNO、DeepONet、局部基函数</w:t>
            </w:r>
          </w:p>
        </w:tc>
        <w:tc>
          <w:tcPr>
            <w:tcW w:type="dxa" w:w="2882"/>
          </w:tcPr>
          <w:p>
            <w:r/>
            <w:r>
              <w:rPr>
                <w:rFonts w:ascii="宋体" w:hAnsi="宋体" w:eastAsia="宋体"/>
                <w:b w:val="0"/>
                <w:sz w:val="20"/>
              </w:rPr>
              <w:t>当 H 为二维/三维场时使用；不作为必要创新点</w:t>
            </w:r>
          </w:p>
        </w:tc>
      </w:tr>
      <w:tr>
        <w:tc>
          <w:tcPr>
            <w:tcW w:type="dxa" w:w="2882"/>
          </w:tcPr>
          <w:p>
            <w:r/>
            <w:r>
              <w:rPr>
                <w:rFonts w:ascii="宋体" w:hAnsi="宋体" w:eastAsia="宋体"/>
                <w:b w:val="0"/>
                <w:sz w:val="20"/>
              </w:rPr>
              <w:t>参数反演</w:t>
            </w:r>
          </w:p>
        </w:tc>
        <w:tc>
          <w:tcPr>
            <w:tcW w:type="dxa" w:w="2882"/>
          </w:tcPr>
          <w:p>
            <w:r/>
            <w:r>
              <w:rPr>
                <w:rFonts w:ascii="宋体" w:hAnsi="宋体" w:eastAsia="宋体"/>
                <w:b w:val="0"/>
                <w:sz w:val="20"/>
              </w:rPr>
              <w:t>梯度优化、贝叶斯优化、MCMC、变分推断、多保真/迁移学习</w:t>
            </w:r>
          </w:p>
        </w:tc>
        <w:tc>
          <w:tcPr>
            <w:tcW w:type="dxa" w:w="2882"/>
          </w:tcPr>
          <w:p>
            <w:r/>
            <w:r>
              <w:rPr>
                <w:rFonts w:ascii="宋体" w:hAnsi="宋体" w:eastAsia="宋体"/>
                <w:b w:val="0"/>
                <w:sz w:val="20"/>
              </w:rPr>
              <w:t>用于小样本和不确定性估计</w:t>
            </w:r>
          </w:p>
        </w:tc>
      </w:tr>
    </w:tbl>
    <w:p/>
    <w:p>
      <w:pPr>
        <w:spacing w:line="360" w:lineRule="auto" w:after="80"/>
        <w:ind w:firstLine="480"/>
      </w:pPr>
      <w:r>
        <w:rPr>
          <w:rFonts w:ascii="宋体" w:hAnsi="宋体" w:eastAsia="宋体"/>
          <w:sz w:val="24"/>
        </w:rPr>
        <w:t>（6）现有实验数据与可实施性：</w:t>
      </w:r>
    </w:p>
    <w:p>
      <w:pPr>
        <w:spacing w:line="360" w:lineRule="auto" w:after="80"/>
        <w:ind w:firstLine="480"/>
      </w:pPr>
      <w:r>
        <w:rPr>
          <w:rFonts w:ascii="宋体" w:hAnsi="宋体" w:eastAsia="宋体"/>
          <w:sz w:val="21"/>
        </w:rPr>
        <w:t>现有槽加工数据覆盖 AlSiC、SiC、ZrO₂、CFRP 和单晶金刚石等材料，已有约 540 组具备有效深度观测的槽实验条件；其中四种材料的表格还包含 Sa、Sq、Sz、最小/最大深度等指标，单晶金刚石包含深度与粗糙度。现有单线实验同样由激光共聚焦点云获得，后续按本交底书统一规则提取线宽和线深。</w:t>
      </w:r>
    </w:p>
    <w:p>
      <w:pPr>
        <w:spacing w:line="360" w:lineRule="auto" w:after="80"/>
        <w:ind w:firstLine="480"/>
      </w:pPr>
      <w:r>
        <w:rPr>
          <w:rFonts w:ascii="宋体" w:hAnsi="宋体" w:eastAsia="宋体"/>
          <w:sz w:val="21"/>
        </w:rPr>
        <w:t>已确认上述实际加工平均功率为 5.3333 W。对于平均功率固定的实验，频率 f 同时决定单脉冲能量 E_p=P/f 和脉冲时间间隔 Δt=1/f；扫描速度 v 进一步决定沿程脉冲间距 Δx=v/f。因此模型不应仅将频率作为普通离散类别，而应显式构造 E_p、Δt、Δx 等物理输入。</w:t>
      </w:r>
    </w:p>
    <w:p>
      <w:pPr>
        <w:spacing w:line="360" w:lineRule="auto" w:after="80"/>
        <w:ind w:firstLine="480"/>
      </w:pPr>
      <w:r>
        <w:rPr>
          <w:rFonts w:ascii="宋体" w:hAnsi="宋体" w:eastAsia="宋体"/>
          <w:sz w:val="21"/>
        </w:rPr>
        <w:t>单线/槽的原始点云数据可进一步用于：①核验压缩观测提取稳定性；②建立少量高保真形貌损失；③检查模型预测形貌与真实点云是否存在系统性偏差。但本发明核心不依赖必须把全部点云作为训练标签，从而保持工程应用的低数据成本。</w:t>
      </w:r>
    </w:p>
    <w:p>
      <w:pPr>
        <w:spacing w:line="360" w:lineRule="auto" w:after="80"/>
        <w:ind w:firstLine="480"/>
      </w:pPr>
      <w:r>
        <w:rPr>
          <w:rFonts w:ascii="宋体" w:hAnsi="宋体" w:eastAsia="宋体"/>
          <w:sz w:val="24"/>
        </w:rPr>
        <w:t>（7）预测输出与工程应用：</w:t>
      </w:r>
    </w:p>
    <w:p>
      <w:pPr>
        <w:spacing w:line="360" w:lineRule="auto" w:after="80"/>
        <w:ind w:firstLine="480"/>
      </w:pPr>
      <w:r>
        <w:rPr>
          <w:rFonts w:ascii="宋体" w:hAnsi="宋体" w:eastAsia="宋体"/>
          <w:sz w:val="21"/>
        </w:rPr>
        <w:t>输入新的脉宽、频率、功率、扫描速度、填充间距、重复加工次数和扫描轨迹，逐脉冲/局部事件递推得到 H_N，并输出预测槽深、粗糙度或三维形貌。</w:t>
      </w:r>
    </w:p>
    <w:p>
      <w:pPr>
        <w:spacing w:line="360" w:lineRule="auto" w:after="80"/>
        <w:ind w:firstLine="480"/>
      </w:pPr>
      <w:r>
        <w:rPr>
          <w:rFonts w:ascii="宋体" w:hAnsi="宋体" w:eastAsia="宋体"/>
          <w:sz w:val="21"/>
        </w:rPr>
        <w:t>对目标槽深和目标粗糙度进行工艺参数筛选或逆向优化；由于模型显式包含历史状态，可比较相同总能量但不同频率/扫描时序的加工结果。</w:t>
      </w:r>
    </w:p>
    <w:p>
      <w:pPr>
        <w:spacing w:line="360" w:lineRule="auto" w:after="80"/>
        <w:ind w:firstLine="480"/>
      </w:pPr>
      <w:r>
        <w:rPr>
          <w:rFonts w:ascii="宋体" w:hAnsi="宋体" w:eastAsia="宋体"/>
          <w:sz w:val="21"/>
        </w:rPr>
        <w:t>通过材料编码或材料特定参数组，将同一双状态—门控结构应用于 AlSiC、SiC、ZrO₂、CFRP、金刚石及其他材料。跨材料共享仅为可选实施方式，不要求不同材料共用同一参数。</w:t>
      </w:r>
    </w:p>
    <w:p>
      <w:pPr>
        <w:spacing w:line="360" w:lineRule="auto" w:after="80"/>
        <w:ind w:firstLine="480"/>
      </w:pPr>
      <w:r>
        <w:rPr>
          <w:rFonts w:ascii="宋体" w:hAnsi="宋体" w:eastAsia="宋体"/>
          <w:sz w:val="21"/>
        </w:rPr>
        <w:t>输出历史材料状态和门控权重作为可解释中间量，用于识别模型认为发生状态转移的脉冲阶段或加工区域，但不将其直接等同于未经独立测量验证的具体微观机制。</w:t>
      </w:r>
    </w:p>
    <w:p>
      <w:pPr>
        <w:spacing w:before="240" w:after="120"/>
      </w:pPr>
      <w:r>
        <w:rPr>
          <w:rFonts w:ascii="宋体" w:hAnsi="宋体" w:eastAsia="宋体"/>
          <w:b/>
          <w:sz w:val="28"/>
        </w:rPr>
        <w:t>5、本发明的关键点和欲保护点是什么？（请提炼出本发明的技术创新点，以提醒专利代理人注意，便于其撰写权利要求书）。</w:t>
      </w:r>
    </w:p>
    <w:p>
      <w:pPr>
        <w:spacing w:line="360" w:lineRule="auto" w:after="80"/>
        <w:ind w:firstLine="480"/>
      </w:pPr>
      <w:r>
        <w:rPr>
          <w:rFonts w:ascii="宋体" w:hAnsi="宋体" w:eastAsia="宋体"/>
          <w:b/>
          <w:sz w:val="21"/>
        </w:rPr>
        <w:t>（1）</w:t>
      </w:r>
      <w:r>
        <w:rPr>
          <w:rFonts w:ascii="宋体" w:hAnsi="宋体" w:eastAsia="宋体"/>
          <w:sz w:val="21"/>
        </w:rPr>
        <w:t>双状态定义：在表面形貌状态 Hₙ 之外，设置由前序脉冲/扫描历史递推得到且不能由当前形貌唯一确定的历史材料状态 Zₙ；Zₙ 不是有效脉冲数 N、累计能量或当前形貌编码的简单替代名称。</w:t>
      </w:r>
    </w:p>
    <w:p>
      <w:pPr>
        <w:spacing w:line="360" w:lineRule="auto" w:after="80"/>
        <w:ind w:firstLine="480"/>
      </w:pPr>
      <w:r>
        <w:rPr>
          <w:rFonts w:ascii="宋体" w:hAnsi="宋体" w:eastAsia="宋体"/>
          <w:b/>
          <w:sz w:val="21"/>
        </w:rPr>
        <w:t>（2）</w:t>
      </w:r>
      <w:r>
        <w:rPr>
          <w:rFonts w:ascii="宋体" w:hAnsi="宋体" w:eastAsia="宋体"/>
          <w:sz w:val="21"/>
        </w:rPr>
        <w:t>双状态同步递推：每个脉冲/等效局部激光作用事件后，同时更新 Hₙ 和 Zₙ，使后续材料去除响应显式依赖历史材料状态。</w:t>
      </w:r>
    </w:p>
    <w:p>
      <w:pPr>
        <w:spacing w:line="360" w:lineRule="auto" w:after="80"/>
        <w:ind w:firstLine="480"/>
      </w:pPr>
      <w:r>
        <w:rPr>
          <w:rFonts w:ascii="宋体" w:hAnsi="宋体" w:eastAsia="宋体"/>
          <w:b/>
          <w:sz w:val="21"/>
        </w:rPr>
        <w:t>（3）</w:t>
      </w:r>
      <w:r>
        <w:rPr>
          <w:rFonts w:ascii="宋体" w:hAnsi="宋体" w:eastAsia="宋体"/>
          <w:sz w:val="21"/>
        </w:rPr>
        <w:t>历史状态驱动的材料去除状态门控：由 Hₙ、Zₙ 和当前脉冲条件计算多个材料去除状态子模型的贡献权重，再根据权重组合得到当前去除增量。</w:t>
      </w:r>
    </w:p>
    <w:p>
      <w:pPr>
        <w:spacing w:line="360" w:lineRule="auto" w:after="80"/>
        <w:ind w:firstLine="480"/>
      </w:pPr>
      <w:r>
        <w:rPr>
          <w:rFonts w:ascii="宋体" w:hAnsi="宋体" w:eastAsia="宋体"/>
          <w:b/>
          <w:sz w:val="21"/>
        </w:rPr>
        <w:t>（4）</w:t>
      </w:r>
      <w:r>
        <w:rPr>
          <w:rFonts w:ascii="宋体" w:hAnsi="宋体" w:eastAsia="宋体"/>
          <w:sz w:val="21"/>
        </w:rPr>
        <w:t>多尺度压缩观测：由同一微观模型生成预测形貌后，分别通过单线观测算子得到线宽/线深，通过槽观测算子得到槽深/Sa/Sq/Sz。</w:t>
      </w:r>
    </w:p>
    <w:p>
      <w:pPr>
        <w:spacing w:line="360" w:lineRule="auto" w:after="80"/>
        <w:ind w:firstLine="480"/>
      </w:pPr>
      <w:r>
        <w:rPr>
          <w:rFonts w:ascii="宋体" w:hAnsi="宋体" w:eastAsia="宋体"/>
          <w:b/>
          <w:sz w:val="21"/>
        </w:rPr>
        <w:t>（5）</w:t>
      </w:r>
      <w:r>
        <w:rPr>
          <w:rFonts w:ascii="宋体" w:hAnsi="宋体" w:eastAsia="宋体"/>
          <w:sz w:val="21"/>
        </w:rPr>
        <w:t>联合反演/训练：使用单线和槽两类实验压缩观测共同确定历史状态更新参数、门控参数和/或材料去除子模型参数，而不是分别建立两个互不相关的预测模型。</w:t>
      </w:r>
    </w:p>
    <w:p>
      <w:pPr>
        <w:spacing w:line="360" w:lineRule="auto" w:after="80"/>
        <w:ind w:firstLine="480"/>
      </w:pPr>
      <w:r>
        <w:rPr>
          <w:rFonts w:ascii="宋体" w:hAnsi="宋体" w:eastAsia="宋体"/>
          <w:b/>
          <w:sz w:val="21"/>
        </w:rPr>
        <w:t>（6）</w:t>
      </w:r>
      <w:r>
        <w:rPr>
          <w:rFonts w:ascii="宋体" w:hAnsi="宋体" w:eastAsia="宋体"/>
          <w:sz w:val="21"/>
        </w:rPr>
        <w:t>共聚焦点云统一测量与压缩规则：单线和槽均可由同类点云经过统一参考面校正、评价区域和指标定义形成压缩数据，从而保证跨尺度训练数据的一致性。</w:t>
      </w:r>
    </w:p>
    <w:p>
      <w:pPr>
        <w:spacing w:line="360" w:lineRule="auto" w:after="80"/>
        <w:ind w:firstLine="480"/>
      </w:pPr>
      <w:r>
        <w:rPr>
          <w:rFonts w:ascii="宋体" w:hAnsi="宋体" w:eastAsia="宋体"/>
          <w:b/>
          <w:sz w:val="21"/>
        </w:rPr>
        <w:t>（7）</w:t>
      </w:r>
      <w:r>
        <w:rPr>
          <w:rFonts w:ascii="宋体" w:hAnsi="宋体" w:eastAsia="宋体"/>
          <w:sz w:val="21"/>
        </w:rPr>
        <w:t>物理—AI耦合位置：AI 优选用于 Zₙ 的状态转移、门控权重或难解析项；算法名称并非必要限定。</w:t>
      </w:r>
    </w:p>
    <w:p>
      <w:pPr>
        <w:spacing w:line="360" w:lineRule="auto" w:after="80"/>
        <w:ind w:firstLine="480"/>
      </w:pPr>
      <w:r>
        <w:rPr>
          <w:rFonts w:ascii="宋体" w:hAnsi="宋体" w:eastAsia="宋体"/>
          <w:b/>
          <w:sz w:val="21"/>
        </w:rPr>
        <w:t>（8）跨尺度验证：通过单线工况到槽工况迁移、留一频率/间距/遍次外推证明历史状态及多尺度联合约束带来的预测改进。</w:t>
      </w:r>
      <w:r>
        <w:rPr>
          <w:rFonts w:ascii="宋体" w:hAnsi="宋体" w:eastAsia="宋体"/>
          <w:sz w:val="21"/>
        </w:rPr>
      </w:r>
    </w:p>
    <w:p>
      <w:pPr>
        <w:spacing w:before="240" w:after="120"/>
      </w:pPr>
      <w:r>
        <w:rPr>
          <w:rFonts w:ascii="宋体" w:hAnsi="宋体" w:eastAsia="宋体"/>
          <w:b/>
          <w:sz w:val="28"/>
        </w:rPr>
        <w:t>6、能实现本发明目的的其他替代方案（尽量多列举可实现本发明的的其他替代方案，以便充分公开本发明）</w:t>
      </w:r>
    </w:p>
    <w:p>
      <w:pPr>
        <w:spacing w:line="360" w:lineRule="auto" w:after="80"/>
        <w:ind w:firstLine="480"/>
      </w:pPr>
      <w:r>
        <w:rPr>
          <w:rFonts w:ascii="宋体" w:hAnsi="宋体" w:eastAsia="宋体"/>
          <w:b/>
          <w:sz w:val="21"/>
        </w:rPr>
        <w:t>（1）</w:t>
      </w:r>
      <w:r>
        <w:rPr>
          <w:rFonts w:ascii="宋体" w:hAnsi="宋体" w:eastAsia="宋体"/>
          <w:sz w:val="21"/>
        </w:rPr>
        <w:t>历史材料状态 Z 可为低维标量/向量，也可为空间分布场；可由解析经验公式、状态空间神经网络、循环网络、Koopman 模型、神经 ODE、SINDy 或符号回归获得。</w:t>
      </w:r>
    </w:p>
    <w:p>
      <w:pPr>
        <w:spacing w:line="360" w:lineRule="auto" w:after="80"/>
        <w:ind w:firstLine="480"/>
      </w:pPr>
      <w:r>
        <w:rPr>
          <w:rFonts w:ascii="宋体" w:hAnsi="宋体" w:eastAsia="宋体"/>
          <w:b/>
          <w:sz w:val="21"/>
        </w:rPr>
        <w:t>（2）</w:t>
      </w:r>
      <w:r>
        <w:rPr>
          <w:rFonts w:ascii="宋体" w:hAnsi="宋体" w:eastAsia="宋体"/>
          <w:sz w:val="21"/>
        </w:rPr>
        <w:t>材料去除状态子模型可以全部为不同参数的经验烧蚀模型，也可以由物理模型与数据驱动模型混合组成；至少两个子模型的物理含义可在后续实验充分时进一步对应具体机制。</w:t>
      </w:r>
    </w:p>
    <w:p>
      <w:pPr>
        <w:spacing w:line="360" w:lineRule="auto" w:after="80"/>
        <w:ind w:firstLine="480"/>
      </w:pPr>
      <w:r>
        <w:rPr>
          <w:rFonts w:ascii="宋体" w:hAnsi="宋体" w:eastAsia="宋体"/>
          <w:b/>
          <w:sz w:val="21"/>
        </w:rPr>
        <w:t>（3）</w:t>
      </w:r>
      <w:r>
        <w:rPr>
          <w:rFonts w:ascii="宋体" w:hAnsi="宋体" w:eastAsia="宋体"/>
          <w:sz w:val="21"/>
        </w:rPr>
        <w:t>门控可采用软门控（权重连续）或硬门控（选择某一子模型），也可由规则阈值与可训练网络共同形成。</w:t>
      </w:r>
    </w:p>
    <w:p>
      <w:pPr>
        <w:spacing w:line="360" w:lineRule="auto" w:after="80"/>
        <w:ind w:firstLine="480"/>
      </w:pPr>
      <w:r>
        <w:rPr>
          <w:rFonts w:ascii="宋体" w:hAnsi="宋体" w:eastAsia="宋体"/>
          <w:b/>
          <w:sz w:val="21"/>
        </w:rPr>
        <w:t>（4）</w:t>
      </w:r>
      <w:r>
        <w:rPr>
          <w:rFonts w:ascii="宋体" w:hAnsi="宋体" w:eastAsia="宋体"/>
          <w:sz w:val="21"/>
        </w:rPr>
        <w:t>压缩观测除线宽、线深、槽深、Sa、Sq、Sz 外，可包括去除体积、截面面积、边缘坡度、槽底均匀性、最大/最小深度或其他由点云稳定提取的工程量。</w:t>
      </w:r>
    </w:p>
    <w:p>
      <w:pPr>
        <w:spacing w:line="360" w:lineRule="auto" w:after="80"/>
        <w:ind w:firstLine="480"/>
      </w:pPr>
      <w:r>
        <w:rPr>
          <w:rFonts w:ascii="宋体" w:hAnsi="宋体" w:eastAsia="宋体"/>
          <w:b/>
          <w:sz w:val="21"/>
        </w:rPr>
        <w:t>（5）</w:t>
      </w:r>
      <w:r>
        <w:rPr>
          <w:rFonts w:ascii="宋体" w:hAnsi="宋体" w:eastAsia="宋体"/>
          <w:sz w:val="21"/>
        </w:rPr>
        <w:t>原始点云可作为第三高保真观测层，与压缩观测共同构成多保真损失；但原始点云不是本发明的必要输入。</w:t>
      </w:r>
    </w:p>
    <w:p>
      <w:pPr>
        <w:spacing w:line="360" w:lineRule="auto" w:after="80"/>
        <w:ind w:firstLine="480"/>
      </w:pPr>
      <w:r>
        <w:rPr>
          <w:rFonts w:ascii="宋体" w:hAnsi="宋体" w:eastAsia="宋体"/>
          <w:b/>
          <w:sz w:val="21"/>
        </w:rPr>
        <w:t>（6）</w:t>
      </w:r>
      <w:r>
        <w:rPr>
          <w:rFonts w:ascii="宋体" w:hAnsi="宋体" w:eastAsia="宋体"/>
          <w:sz w:val="21"/>
        </w:rPr>
        <w:t>训练可采用分阶段、交替、端到端、贝叶斯或多保真方式；可对不同材料分别训练参数，也可共享状态更新结构并设置材料嵌入/材料特定参数。</w:t>
      </w:r>
    </w:p>
    <w:p>
      <w:pPr>
        <w:spacing w:line="360" w:lineRule="auto" w:after="80"/>
        <w:ind w:firstLine="480"/>
      </w:pPr>
      <w:r>
        <w:rPr>
          <w:rFonts w:ascii="宋体" w:hAnsi="宋体" w:eastAsia="宋体"/>
          <w:b/>
          <w:sz w:val="21"/>
        </w:rPr>
        <w:t>（7）</w:t>
      </w:r>
      <w:r>
        <w:rPr>
          <w:rFonts w:ascii="宋体" w:hAnsi="宋体" w:eastAsia="宋体"/>
          <w:sz w:val="21"/>
        </w:rPr>
        <w:t>模型既可用于前向预测，也可嵌入优化器进行目标槽深/粗糙度的逆向工艺设计。</w:t>
      </w:r>
    </w:p>
    <w:p>
      <w:pPr>
        <w:spacing w:line="360" w:lineRule="auto" w:after="80"/>
        <w:ind w:firstLine="480"/>
      </w:pPr>
      <w:r>
        <w:rPr>
          <w:rFonts w:ascii="宋体" w:hAnsi="宋体" w:eastAsia="宋体"/>
          <w:b/>
          <w:sz w:val="21"/>
        </w:rPr>
        <w:t>（8）</w:t>
      </w:r>
      <w:r>
        <w:rPr>
          <w:rFonts w:ascii="宋体" w:hAnsi="宋体" w:eastAsia="宋体"/>
          <w:sz w:val="21"/>
        </w:rPr>
        <w:t>对于设备无法逐个解析全部脉冲的高频扫描，可将若干相近脉冲聚合为等效局部事件，只要保留对 H 和 Z 的历史递推关系。</w:t>
      </w:r>
    </w:p>
    <w:p>
      <w:pPr>
        <w:spacing w:before="240" w:after="120"/>
      </w:pPr>
      <w:r>
        <w:rPr>
          <w:rFonts w:ascii="宋体" w:hAnsi="宋体" w:eastAsia="宋体"/>
          <w:b/>
          <w:sz w:val="28"/>
        </w:rPr>
        <w:t>参考文献：</w:t>
      </w:r>
    </w:p>
    <w:p>
      <w:pPr>
        <w:spacing w:line="360" w:lineRule="auto" w:after="80"/>
      </w:pPr>
      <w:r>
        <w:rPr>
          <w:rFonts w:ascii="宋体" w:hAnsi="宋体" w:eastAsia="宋体"/>
          <w:b w:val="0"/>
          <w:sz w:val="24"/>
        </w:rPr>
        <w:t>【1】 S. Tani, Y. Kobayashi. Ultrafast laser ablation simulator using deep neural networks. Scientific Reports, 12, 5837 (2022). DOI: 10.1038/s41598-022-09870-x.</w:t>
      </w:r>
    </w:p>
    <w:p>
      <w:pPr>
        <w:spacing w:line="360" w:lineRule="auto" w:after="80"/>
      </w:pPr>
      <w:r>
        <w:rPr>
          <w:rFonts w:ascii="宋体" w:hAnsi="宋体" w:eastAsia="宋体"/>
          <w:b w:val="0"/>
          <w:sz w:val="24"/>
        </w:rPr>
        <w:t>【2】 CN118536273A. 一种复杂曲面超快激光加工过程的脉冲级仿真建模方法，申请日 2024-05-13。</w:t>
      </w:r>
    </w:p>
    <w:p>
      <w:pPr>
        <w:spacing w:line="360" w:lineRule="auto" w:after="80"/>
      </w:pPr>
      <w:r>
        <w:rPr>
          <w:rFonts w:ascii="宋体" w:hAnsi="宋体" w:eastAsia="宋体"/>
          <w:b w:val="0"/>
          <w:sz w:val="24"/>
        </w:rPr>
        <w:t>【3】 CN121348803B. 基于逐脉冲烧蚀的单行划线仿真方法及多行扫面仿真方法，申请日 2025-12-19。</w:t>
      </w:r>
    </w:p>
    <w:p>
      <w:pPr>
        <w:spacing w:line="360" w:lineRule="auto" w:after="80"/>
      </w:pPr>
      <w:r>
        <w:rPr>
          <w:rFonts w:ascii="宋体" w:hAnsi="宋体" w:eastAsia="宋体"/>
          <w:b w:val="0"/>
          <w:sz w:val="24"/>
        </w:rPr>
        <w:t>【4】 E. Mottay. Data-efficient hybrid physics—Machine learning model for ultrafast laser ablation. Journal of Laser Applications 37, 042031 (2025). DOI: 10.2351/7.0001875.</w:t>
      </w:r>
    </w:p>
    <w:p>
      <w:pPr>
        <w:spacing w:line="360" w:lineRule="auto" w:after="80"/>
      </w:pPr>
      <w:r>
        <w:rPr>
          <w:rFonts w:ascii="宋体" w:hAnsi="宋体" w:eastAsia="宋体"/>
          <w:b w:val="0"/>
          <w:sz w:val="24"/>
        </w:rPr>
        <w:t>【5】 D. Redka et al. Improved prediction of ultrashort pulse laser ablation efficiency. Optics &amp; Laser Technology 189, 113103 (2025). DOI: 10.1016/j.optlastec.2025.113103.</w:t>
      </w:r>
    </w:p>
    <w:p>
      <w:pPr>
        <w:spacing w:line="360" w:lineRule="auto" w:after="80"/>
      </w:pPr>
      <w:r>
        <w:rPr>
          <w:rFonts w:ascii="宋体" w:hAnsi="宋体" w:eastAsia="宋体"/>
          <w:b w:val="0"/>
          <w:sz w:val="24"/>
        </w:rPr>
        <w:t>【6】 N. Thomae et al. Deciphering the driving mechanisms of incubation in ultrashort pulse laser ablation. Applied Surface Science Advances 32, 100928 (2026). DOI: 10.1016/j.apsadv.2025.100928.</w:t>
      </w:r>
    </w:p>
    <w:p>
      <w:pPr>
        <w:spacing w:line="360" w:lineRule="auto" w:after="80"/>
      </w:pPr>
      <w:r>
        <w:rPr>
          <w:rFonts w:ascii="宋体" w:hAnsi="宋体" w:eastAsia="宋体"/>
          <w:b w:val="0"/>
          <w:sz w:val="24"/>
        </w:rPr>
        <w:t>【7】 D. Redka et al. Breakdown of spallation in multi-pulse ultrafast laser ablation. arXiv:2604.13858 (2026，预印本).</w:t>
      </w:r>
    </w:p>
    <w:p>
      <w:pPr>
        <w:spacing w:line="360" w:lineRule="auto" w:after="80"/>
      </w:pPr>
      <w:r>
        <w:rPr>
          <w:rFonts w:ascii="宋体" w:hAnsi="宋体" w:eastAsia="宋体"/>
          <w:b w:val="0"/>
          <w:sz w:val="24"/>
        </w:rPr>
        <w:t>【8】 G. Li et al. Prediction of Groove Depth in Femtosecond Laser Ablation via Attention-based Monotonic Physics-Guided Neural Network (AM-PGNN). Machines 14(5), 509 (2026).</w:t>
      </w:r>
    </w:p>
    <w:p>
      <w:pPr>
        <w:spacing w:line="360" w:lineRule="auto" w:after="80"/>
      </w:pPr>
      <w:r>
        <w:rPr>
          <w:rFonts w:ascii="宋体" w:hAnsi="宋体" w:eastAsia="宋体"/>
          <w:b w:val="0"/>
          <w:sz w:val="24"/>
        </w:rPr>
        <w:t>【9】 L. Grbčić et al. Inverse design of photonic surfaces via multi fidelity ensemble framework and femtosecond laser processing. npj Computational Materials 11, 35 (2025). DOI: 10.1038/s41524-025-01518-4.</w:t>
      </w:r>
    </w:p>
    <w:p>
      <w:pPr>
        <w:spacing w:line="360" w:lineRule="auto" w:after="80"/>
      </w:pPr>
      <w:r>
        <w:rPr>
          <w:rFonts w:ascii="宋体" w:hAnsi="宋体" w:eastAsia="宋体"/>
          <w:b w:val="0"/>
          <w:sz w:val="24"/>
        </w:rPr>
        <w:t>【10】 国家知识产权局. 案例九：“用于处理图像的方法和装置”发明专利申请复审请求案，2025-06-06；以及 2025 年《专利审查指南》相关修改与解读。</w:t>
      </w:r>
    </w:p>
    <w:p>
      <w:pPr>
        <w:spacing w:before="240" w:after="120"/>
      </w:pPr>
      <w:r>
        <w:rPr>
          <w:rFonts w:ascii="宋体" w:hAnsi="宋体" w:eastAsia="宋体"/>
          <w:b/>
          <w:sz w:val="28"/>
        </w:rPr>
        <w:t>附录：代理人参考材料</w:t>
      </w:r>
    </w:p>
    <w:p>
      <w:pPr>
        <w:spacing w:line="360" w:lineRule="auto" w:after="80"/>
        <w:ind w:firstLine="480"/>
      </w:pPr>
      <w:r>
        <w:rPr>
          <w:rFonts w:ascii="宋体" w:hAnsi="宋体" w:eastAsia="宋体"/>
          <w:sz w:val="24"/>
        </w:rPr>
        <w:t>A.1 数据整理</w:t>
      </w:r>
    </w:p>
    <w:p>
      <w:pPr>
        <w:spacing w:line="360" w:lineRule="auto" w:after="80"/>
        <w:ind w:firstLine="480"/>
      </w:pPr>
      <w:r>
        <w:rPr>
          <w:rFonts w:ascii="宋体" w:hAnsi="宋体" w:eastAsia="宋体"/>
          <w:sz w:val="21"/>
        </w:rPr>
        <w:t>建立单线数据表：材料、脉宽、频率、功率、扫描速度、离焦量（若变化）、线宽、线深、共聚焦点云文件标识；</w:t>
      </w:r>
    </w:p>
    <w:p>
      <w:pPr>
        <w:spacing w:line="360" w:lineRule="auto" w:after="80"/>
        <w:ind w:firstLine="480"/>
      </w:pPr>
      <w:r>
        <w:rPr>
          <w:rFonts w:ascii="宋体" w:hAnsi="宋体" w:eastAsia="宋体"/>
          <w:sz w:val="21"/>
        </w:rPr>
        <w:t>建立槽数据表：材料、脉宽、频率、功率、扫描速度、填充间距、重复加工次数、槽深、Sa、Sq、Sz、点云文件标识；</w:t>
      </w:r>
    </w:p>
    <w:p>
      <w:pPr>
        <w:spacing w:line="360" w:lineRule="auto" w:after="80"/>
        <w:ind w:firstLine="480"/>
      </w:pPr>
      <w:r>
        <w:rPr>
          <w:rFonts w:ascii="宋体" w:hAnsi="宋体" w:eastAsia="宋体"/>
          <w:sz w:val="21"/>
        </w:rPr>
        <w:t>确认所有实验的功率 5.3333 W 是否均为工件端实测/设定平均功率，并统一单位；</w:t>
      </w:r>
    </w:p>
    <w:p>
      <w:pPr>
        <w:spacing w:line="360" w:lineRule="auto" w:after="80"/>
        <w:ind w:firstLine="480"/>
      </w:pPr>
      <w:r>
        <w:rPr>
          <w:rFonts w:ascii="宋体" w:hAnsi="宋体" w:eastAsia="宋体"/>
          <w:sz w:val="21"/>
        </w:rPr>
        <w:t>对单线和槽的点云采用同一基准面拟合/异常点处理脚本，保存压缩值以及测量不确定度；</w:t>
      </w:r>
    </w:p>
    <w:p>
      <w:pPr>
        <w:spacing w:line="360" w:lineRule="auto" w:after="80"/>
        <w:ind w:firstLine="480"/>
      </w:pPr>
      <w:r>
        <w:rPr>
          <w:rFonts w:ascii="宋体" w:hAnsi="宋体" w:eastAsia="宋体"/>
          <w:sz w:val="21"/>
        </w:rPr>
        <w:t>单独标记“未形成稳定烧蚀/深度接近测量噪声”的样本，不建议简单把负深度全部截断为 0。</w:t>
      </w:r>
    </w:p>
    <w:p>
      <w:pPr>
        <w:spacing w:line="360" w:lineRule="auto" w:after="80"/>
        <w:ind w:firstLine="480"/>
      </w:pPr>
      <w:r>
        <w:rPr>
          <w:rFonts w:ascii="宋体" w:hAnsi="宋体" w:eastAsia="宋体"/>
          <w:sz w:val="24"/>
        </w:rPr>
        <w:t>A.2 独立权利要求技术骨架（供代理人参考）</w:t>
      </w:r>
    </w:p>
    <w:p>
      <w:pPr>
        <w:spacing w:line="360" w:lineRule="auto" w:after="80"/>
        <w:ind w:firstLine="480"/>
      </w:pPr>
      <w:r>
        <w:rPr>
          <w:rFonts w:ascii="宋体" w:hAnsi="宋体" w:eastAsia="宋体"/>
          <w:sz w:val="24"/>
        </w:rPr>
        <w:t>建议优先把「模型构建/校准 + 形貌预测」写成一个完整方法，必要时再根据单一性和审查策略拆分预测方法、系统和存储介质。独权不建议出现 TRM、MoE、FNO、Koopman、spallation 等具体术语。</w:t>
      </w:r>
    </w:p>
    <w:p>
      <w:pPr>
        <w:spacing w:line="360" w:lineRule="auto" w:after="80"/>
        <w:ind w:firstLine="480"/>
      </w:pPr>
      <w:r>
        <w:rPr>
          <w:rFonts w:ascii="宋体" w:hAnsi="宋体" w:eastAsia="宋体"/>
          <w:sz w:val="24"/>
        </w:rPr>
        <w:t>S1：获取目标材料的超快激光加工参数及扫描/脉冲作用序列，建立初始表面形貌状态 H₀ 和历史材料状态 Z₀；</w:t>
      </w:r>
    </w:p>
    <w:p>
      <w:pPr>
        <w:spacing w:line="360" w:lineRule="auto" w:after="80"/>
        <w:ind w:firstLine="480"/>
      </w:pPr>
      <w:r>
        <w:rPr>
          <w:rFonts w:ascii="宋体" w:hAnsi="宋体" w:eastAsia="宋体"/>
          <w:sz w:val="24"/>
        </w:rPr>
        <w:t>S2：针对第 n 个脉冲或等效局部激光作用事件，根据当前 Hₙ、Zₙ 和激光输入 uₙ 计算至少两个材料去除状态子模型的贡献权重；</w:t>
      </w:r>
    </w:p>
    <w:p>
      <w:pPr>
        <w:spacing w:line="360" w:lineRule="auto" w:after="80"/>
        <w:ind w:firstLine="480"/>
      </w:pPr>
      <w:r>
        <w:rPr>
          <w:rFonts w:ascii="宋体" w:hAnsi="宋体" w:eastAsia="宋体"/>
          <w:sz w:val="24"/>
        </w:rPr>
        <w:t>S3：根据所述贡献权重组合至少两个材料去除状态子模型的输出，得到当前材料去除增量 ΔHₙ；</w:t>
      </w:r>
    </w:p>
    <w:p>
      <w:pPr>
        <w:spacing w:line="360" w:lineRule="auto" w:after="80"/>
        <w:ind w:firstLine="480"/>
      </w:pPr>
      <w:r>
        <w:rPr>
          <w:rFonts w:ascii="宋体" w:hAnsi="宋体" w:eastAsia="宋体"/>
          <w:sz w:val="24"/>
        </w:rPr>
        <w:t>S4：根据 ΔHₙ 更新表面形貌状态 Hₙ₊₁，并根据当前脉冲历史更新历史材料状态 Zₙ₊₁，循环直至完成预定加工过程，得到预测最终形貌；</w:t>
      </w:r>
    </w:p>
    <w:p>
      <w:pPr>
        <w:spacing w:line="360" w:lineRule="auto" w:after="80"/>
        <w:ind w:firstLine="480"/>
      </w:pPr>
      <w:r>
        <w:rPr>
          <w:rFonts w:ascii="宋体" w:hAnsi="宋体" w:eastAsia="宋体"/>
          <w:sz w:val="24"/>
        </w:rPr>
        <w:t>S5：针对单线加工预测形貌通过第一观测算子获得预测单线宽度和深度；针对槽加工预测形貌通过第二观测算子获得预测槽深度及至少一种粗糙度指标；</w:t>
      </w:r>
    </w:p>
    <w:p>
      <w:pPr>
        <w:spacing w:line="360" w:lineRule="auto" w:after="80"/>
        <w:ind w:firstLine="480"/>
      </w:pPr>
      <w:r>
        <w:rPr>
          <w:rFonts w:ascii="宋体" w:hAnsi="宋体" w:eastAsia="宋体"/>
          <w:sz w:val="24"/>
        </w:rPr>
        <w:t>S6：从单线与槽的激光共聚焦点云中按预定规则获得对应实测压缩观测，构造包含单线观测误差和槽观测误差的联合目标函数；</w:t>
      </w:r>
    </w:p>
    <w:p>
      <w:pPr>
        <w:spacing w:line="360" w:lineRule="auto" w:after="80"/>
        <w:ind w:firstLine="480"/>
      </w:pPr>
      <w:r>
        <w:rPr>
          <w:rFonts w:ascii="宋体" w:hAnsi="宋体" w:eastAsia="宋体"/>
          <w:sz w:val="24"/>
        </w:rPr>
        <w:t>S7：利用所述联合目标函数确定/更新历史材料状态转移参数、材料去除状态贡献参数和/或材料去除子模型参数；</w:t>
      </w:r>
    </w:p>
    <w:p>
      <w:pPr>
        <w:spacing w:line="360" w:lineRule="auto" w:after="80"/>
        <w:ind w:firstLine="480"/>
      </w:pPr>
      <w:r>
        <w:rPr>
          <w:rFonts w:ascii="宋体" w:hAnsi="宋体" w:eastAsia="宋体"/>
          <w:sz w:val="24"/>
        </w:rPr>
        <w:t>S8：利用确定后的模型对新的超快激光多脉冲加工条件进行形貌和/或槽深、粗糙度预测。</w:t>
      </w:r>
    </w:p>
    <w:p>
      <w:pPr>
        <w:spacing w:line="360" w:lineRule="auto" w:after="80"/>
        <w:ind w:firstLine="480"/>
      </w:pPr>
      <w:r>
        <w:rPr>
          <w:rFonts w:ascii="宋体" w:hAnsi="宋体" w:eastAsia="宋体"/>
          <w:sz w:val="24"/>
        </w:rPr>
        <w:t>写作规避建议：独权应强调「Zₙ 与 Hₙ 为两个不同信息源」「Zₙ 由前序脉冲历史递推」「Zₙ 参与门控多个材料去除状态子模型」「两类尺度观测共同校准同一模型」。这些特征应尽量作为一个功能耦合整体出现，避免被拆解为普通逐脉冲模型 + 普通 MoE + 普通多任务学习的简单拼接。</w:t>
      </w:r>
    </w:p>
    <w:p>
      <w:pPr>
        <w:spacing w:line="360" w:lineRule="auto" w:after="80"/>
        <w:ind w:firstLine="480"/>
      </w:pPr>
      <w:r>
        <w:rPr>
          <w:rFonts w:ascii="宋体" w:hAnsi="宋体" w:eastAsia="宋体"/>
          <w:sz w:val="24"/>
        </w:rPr>
        <w:t>A.3 交代理人特别提示</w:t>
      </w:r>
    </w:p>
    <w:p>
      <w:pPr>
        <w:spacing w:line="360" w:lineRule="auto" w:after="80"/>
        <w:ind w:firstLine="480"/>
      </w:pPr>
      <w:r>
        <w:rPr>
          <w:rFonts w:ascii="宋体" w:hAnsi="宋体" w:eastAsia="宋体"/>
          <w:sz w:val="24"/>
        </w:rPr>
        <w:t>1）本发明不宜将「逐脉冲形貌预测」「孵化效应」「有效脉冲数」「物理模型+残差网络」「MoE/FNO」等任一单独技术点作为核心创造性。</w:t>
      </w:r>
    </w:p>
    <w:p>
      <w:pPr>
        <w:spacing w:line="360" w:lineRule="auto" w:after="80"/>
        <w:ind w:firstLine="480"/>
      </w:pPr>
      <w:r>
        <w:rPr>
          <w:rFonts w:ascii="宋体" w:hAnsi="宋体" w:eastAsia="宋体"/>
          <w:sz w:val="24"/>
        </w:rPr>
        <w:t>2）独权的创造性主轴应是：独立历史材料状态 Zₙ + Zₙ 驱动去除状态门控 + 单线/槽多尺度压缩观测共同校准同一个微观模型。</w:t>
      </w:r>
    </w:p>
    <w:p>
      <w:pPr>
        <w:spacing w:line="360" w:lineRule="auto" w:after="80"/>
        <w:ind w:firstLine="480"/>
      </w:pPr>
      <w:r>
        <w:rPr>
          <w:rFonts w:ascii="宋体" w:hAnsi="宋体" w:eastAsia="宋体"/>
          <w:sz w:val="24"/>
        </w:rPr>
        <w:t>3）在现阶段没有时间分辨机理标签的情况下，不在独权中将门控专家写死为 spallation / phase explosion。使用「材料去除状态子模型」更稳妥。</w:t>
      </w:r>
    </w:p>
    <w:p>
      <w:pPr>
        <w:spacing w:line="360" w:lineRule="auto" w:after="80"/>
        <w:ind w:firstLine="480"/>
      </w:pPr>
      <w:r>
        <w:rPr>
          <w:rFonts w:ascii="宋体" w:hAnsi="宋体" w:eastAsia="宋体"/>
          <w:sz w:val="24"/>
        </w:rPr>
        <w:t>4）实验数据尚未证明某一微观状态的唯一物理含义，因此说明书应使用「联合约束、反演标定、一致性验证」等表述，避免使用「由宏观粗糙度证明某微观机理」等过强因果表述。</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