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6"/>
        </w:rPr>
        <w:t>《超快激光多脉冲烧蚀形貌预测</w:t>
        <w:br/>
        <w:t>专利技术交底书（格式基准）》内容优化方案</w:t>
      </w:r>
    </w:p>
    <w:p>
      <w:pPr>
        <w:spacing w:after="280"/>
        <w:jc w:val="center"/>
      </w:pPr>
      <w:r>
        <w:rPr>
          <w:rFonts w:ascii="楷体" w:hAnsi="楷体" w:eastAsia="楷体"/>
          <w:b w:val="0"/>
          <w:sz w:val="24"/>
        </w:rPr>
        <w:t>——对照模板写作思路 + 资料内容，只改内容、不动格式</w:t>
      </w:r>
    </w:p>
    <w:p>
      <w:pPr>
        <w:spacing w:before="360" w:after="160"/>
      </w:pPr>
      <w:r>
        <w:rPr>
          <w:rFonts w:ascii="黑体" w:hAnsi="黑体" w:eastAsia="黑体"/>
          <w:b/>
          <w:sz w:val="32"/>
        </w:rPr>
        <w:t>一、优化总览</w:t>
      </w:r>
    </w:p>
    <w:p>
      <w:pPr>
        <w:spacing w:line="360" w:lineRule="auto" w:after="80"/>
        <w:ind w:firstLine="440"/>
      </w:pPr>
      <w:r>
        <w:rPr>
          <w:rFonts w:ascii="宋体" w:hAnsi="宋体" w:eastAsia="宋体"/>
          <w:b w:val="0"/>
          <w:sz w:val="22"/>
        </w:rPr>
        <w:t>本方案以《专利技术交底书模板.doc》的写作思路为基准，以《超快激光多脉冲烧蚀形貌预测_专利技术交底书_资料.docx》的完整内容为素材，对《格式基准.docx》进行纯内容层面的优化。所有修改均不涉及字体、字号、段落样式、表格结构、图片位置等格式要素。</w:t>
      </w:r>
    </w:p>
    <w:p>
      <w:pPr>
        <w:spacing w:before="240" w:after="120"/>
      </w:pPr>
      <w:r>
        <w:rPr>
          <w:rFonts w:ascii="黑体" w:hAnsi="黑体" w:eastAsia="黑体"/>
          <w:b/>
          <w:sz w:val="26"/>
        </w:rPr>
        <w:t>1.1 问题诊断与优先级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1"/>
              </w:rPr>
              <w:t>序号</w:t>
            </w:r>
          </w:p>
        </w:tc>
        <w:tc>
          <w:tcPr>
            <w:tcW w:type="dxa" w:w="2160"/>
          </w:tcPr>
          <w:p>
            <w:pPr>
              <w:jc w:val="center"/>
            </w:pPr>
            <w:r/>
            <w:r>
              <w:rPr>
                <w:rFonts w:ascii="黑体" w:hAnsi="黑体" w:eastAsia="黑体"/>
                <w:b/>
                <w:sz w:val="21"/>
              </w:rPr>
              <w:t>问题位置</w:t>
            </w:r>
          </w:p>
        </w:tc>
        <w:tc>
          <w:tcPr>
            <w:tcW w:type="dxa" w:w="2160"/>
          </w:tcPr>
          <w:p>
            <w:pPr>
              <w:jc w:val="center"/>
            </w:pPr>
            <w:r/>
            <w:r>
              <w:rPr>
                <w:rFonts w:ascii="黑体" w:hAnsi="黑体" w:eastAsia="黑体"/>
                <w:b/>
                <w:sz w:val="21"/>
              </w:rPr>
              <w:t>问题描述</w:t>
            </w:r>
          </w:p>
        </w:tc>
        <w:tc>
          <w:tcPr>
            <w:tcW w:type="dxa" w:w="2160"/>
          </w:tcPr>
          <w:p>
            <w:pPr>
              <w:jc w:val="center"/>
            </w:pPr>
            <w:r/>
            <w:r>
              <w:rPr>
                <w:rFonts w:ascii="黑体" w:hAnsi="黑体" w:eastAsia="黑体"/>
                <w:b/>
                <w:sz w:val="21"/>
              </w:rPr>
              <w:t>优先级</w:t>
            </w:r>
          </w:p>
        </w:tc>
      </w:tr>
      <w:tr>
        <w:tc>
          <w:tcPr>
            <w:tcW w:type="dxa" w:w="2160"/>
          </w:tcPr>
          <w:p>
            <w:r/>
            <w:r>
              <w:rPr>
                <w:rFonts w:ascii="宋体" w:hAnsi="宋体" w:eastAsia="宋体"/>
                <w:b w:val="0"/>
                <w:sz w:val="20"/>
              </w:rPr>
              <w:t>1</w:t>
            </w:r>
          </w:p>
        </w:tc>
        <w:tc>
          <w:tcPr>
            <w:tcW w:type="dxa" w:w="2160"/>
          </w:tcPr>
          <w:p>
            <w:r/>
            <w:r>
              <w:rPr>
                <w:rFonts w:ascii="宋体" w:hAnsi="宋体" w:eastAsia="宋体"/>
                <w:b w:val="0"/>
                <w:sz w:val="20"/>
              </w:rPr>
              <w:t>封面表</w:t>
            </w:r>
          </w:p>
        </w:tc>
        <w:tc>
          <w:tcPr>
            <w:tcW w:type="dxa" w:w="2160"/>
          </w:tcPr>
          <w:p>
            <w:r/>
            <w:r>
              <w:rPr>
                <w:rFonts w:ascii="宋体" w:hAnsi="宋体" w:eastAsia="宋体"/>
                <w:b w:val="0"/>
                <w:sz w:val="20"/>
              </w:rPr>
              <w:t>发明名称仍为模板示例「采用照相拼图的工件定位方法和装置」，未替换为本发明名称</w:t>
            </w:r>
          </w:p>
        </w:tc>
        <w:tc>
          <w:tcPr>
            <w:tcW w:type="dxa" w:w="2160"/>
          </w:tcPr>
          <w:p>
            <w:r/>
            <w:r>
              <w:rPr>
                <w:rFonts w:ascii="宋体" w:hAnsi="宋体" w:eastAsia="宋体"/>
                <w:b/>
                <w:color w:val="C00000"/>
                <w:sz w:val="20"/>
              </w:rPr>
              <w:t>必须修改</w:t>
            </w:r>
          </w:p>
        </w:tc>
      </w:tr>
      <w:tr>
        <w:tc>
          <w:tcPr>
            <w:tcW w:type="dxa" w:w="2160"/>
          </w:tcPr>
          <w:p>
            <w:r/>
            <w:r>
              <w:rPr>
                <w:rFonts w:ascii="宋体" w:hAnsi="宋体" w:eastAsia="宋体"/>
                <w:b w:val="0"/>
                <w:sz w:val="20"/>
              </w:rPr>
              <w:t>2</w:t>
            </w:r>
          </w:p>
        </w:tc>
        <w:tc>
          <w:tcPr>
            <w:tcW w:type="dxa" w:w="2160"/>
          </w:tcPr>
          <w:p>
            <w:r/>
            <w:r>
              <w:rPr>
                <w:rFonts w:ascii="宋体" w:hAnsi="宋体" w:eastAsia="宋体"/>
                <w:b w:val="0"/>
                <w:sz w:val="20"/>
              </w:rPr>
              <w:t>第2部分</w:t>
            </w:r>
          </w:p>
        </w:tc>
        <w:tc>
          <w:tcPr>
            <w:tcW w:type="dxa" w:w="2160"/>
          </w:tcPr>
          <w:p>
            <w:r/>
            <w:r>
              <w:rPr>
                <w:rFonts w:ascii="宋体" w:hAnsi="宋体" w:eastAsia="宋体"/>
                <w:b w:val="0"/>
                <w:sz w:val="20"/>
              </w:rPr>
              <w:t>技术背景及最接近现有技术完全空白（5个空段落），是全文最大缺口</w:t>
            </w:r>
          </w:p>
        </w:tc>
        <w:tc>
          <w:tcPr>
            <w:tcW w:type="dxa" w:w="2160"/>
          </w:tcPr>
          <w:p>
            <w:r/>
            <w:r>
              <w:rPr>
                <w:rFonts w:ascii="宋体" w:hAnsi="宋体" w:eastAsia="宋体"/>
                <w:b/>
                <w:color w:val="C00000"/>
                <w:sz w:val="20"/>
              </w:rPr>
              <w:t>必须修改</w:t>
            </w:r>
          </w:p>
        </w:tc>
      </w:tr>
      <w:tr>
        <w:tc>
          <w:tcPr>
            <w:tcW w:type="dxa" w:w="2160"/>
          </w:tcPr>
          <w:p>
            <w:r/>
            <w:r>
              <w:rPr>
                <w:rFonts w:ascii="宋体" w:hAnsi="宋体" w:eastAsia="宋体"/>
                <w:b w:val="0"/>
                <w:sz w:val="20"/>
              </w:rPr>
              <w:t>3</w:t>
            </w:r>
          </w:p>
        </w:tc>
        <w:tc>
          <w:tcPr>
            <w:tcW w:type="dxa" w:w="2160"/>
          </w:tcPr>
          <w:p>
            <w:r/>
            <w:r>
              <w:rPr>
                <w:rFonts w:ascii="宋体" w:hAnsi="宋体" w:eastAsia="宋体"/>
                <w:b w:val="0"/>
                <w:sz w:val="20"/>
              </w:rPr>
              <w:t>第4部分</w:t>
            </w:r>
          </w:p>
        </w:tc>
        <w:tc>
          <w:tcPr>
            <w:tcW w:type="dxa" w:w="2160"/>
          </w:tcPr>
          <w:p>
            <w:r/>
            <w:r>
              <w:rPr>
                <w:rFonts w:ascii="宋体" w:hAnsi="宋体" w:eastAsia="宋体"/>
                <w:b w:val="0"/>
                <w:sz w:val="20"/>
              </w:rPr>
              <w:t>缺少算法消融/实施例验证内容（资料4.9及M0–M4表未吸收）</w:t>
            </w:r>
          </w:p>
        </w:tc>
        <w:tc>
          <w:tcPr>
            <w:tcW w:type="dxa" w:w="2160"/>
          </w:tcPr>
          <w:p>
            <w:r/>
            <w:r>
              <w:rPr>
                <w:rFonts w:ascii="宋体" w:hAnsi="宋体" w:eastAsia="宋体"/>
                <w:b/>
                <w:color w:val="C00000"/>
                <w:sz w:val="20"/>
              </w:rPr>
              <w:t>必须修改</w:t>
            </w:r>
          </w:p>
        </w:tc>
      </w:tr>
      <w:tr>
        <w:tc>
          <w:tcPr>
            <w:tcW w:type="dxa" w:w="2160"/>
          </w:tcPr>
          <w:p>
            <w:r/>
            <w:r>
              <w:rPr>
                <w:rFonts w:ascii="宋体" w:hAnsi="宋体" w:eastAsia="宋体"/>
                <w:b w:val="0"/>
                <w:sz w:val="20"/>
              </w:rPr>
              <w:t>4</w:t>
            </w:r>
          </w:p>
        </w:tc>
        <w:tc>
          <w:tcPr>
            <w:tcW w:type="dxa" w:w="2160"/>
          </w:tcPr>
          <w:p>
            <w:r/>
            <w:r>
              <w:rPr>
                <w:rFonts w:ascii="宋体" w:hAnsi="宋体" w:eastAsia="宋体"/>
                <w:b w:val="0"/>
                <w:sz w:val="20"/>
              </w:rPr>
              <w:t>第4部分</w:t>
            </w:r>
          </w:p>
        </w:tc>
        <w:tc>
          <w:tcPr>
            <w:tcW w:type="dxa" w:w="2160"/>
          </w:tcPr>
          <w:p>
            <w:r/>
            <w:r>
              <w:rPr>
                <w:rFonts w:ascii="宋体" w:hAnsi="宋体" w:eastAsia="宋体"/>
                <w:b w:val="0"/>
                <w:sz w:val="20"/>
              </w:rPr>
              <w:t>Cₙ₊₁、Θₙ₊₁公式后缺少变量说明（T_C、T_T、Φ_C、Φ_T未解释）</w:t>
            </w:r>
          </w:p>
        </w:tc>
        <w:tc>
          <w:tcPr>
            <w:tcW w:type="dxa" w:w="2160"/>
          </w:tcPr>
          <w:p>
            <w:r/>
            <w:r>
              <w:rPr>
                <w:rFonts w:ascii="宋体" w:hAnsi="宋体" w:eastAsia="宋体"/>
                <w:b/>
                <w:color w:val="C00000"/>
                <w:sz w:val="20"/>
              </w:rPr>
              <w:t>必须修改</w:t>
            </w:r>
          </w:p>
        </w:tc>
      </w:tr>
      <w:tr>
        <w:tc>
          <w:tcPr>
            <w:tcW w:type="dxa" w:w="2160"/>
          </w:tcPr>
          <w:p>
            <w:r/>
            <w:r>
              <w:rPr>
                <w:rFonts w:ascii="宋体" w:hAnsi="宋体" w:eastAsia="宋体"/>
                <w:b w:val="0"/>
                <w:sz w:val="20"/>
              </w:rPr>
              <w:t>5</w:t>
            </w:r>
          </w:p>
        </w:tc>
        <w:tc>
          <w:tcPr>
            <w:tcW w:type="dxa" w:w="2160"/>
          </w:tcPr>
          <w:p>
            <w:r/>
            <w:r>
              <w:rPr>
                <w:rFonts w:ascii="宋体" w:hAnsi="宋体" w:eastAsia="宋体"/>
                <w:b w:val="0"/>
                <w:sz w:val="20"/>
              </w:rPr>
              <w:t>第1部分</w:t>
            </w:r>
          </w:p>
        </w:tc>
        <w:tc>
          <w:tcPr>
            <w:tcW w:type="dxa" w:w="2160"/>
          </w:tcPr>
          <w:p>
            <w:r/>
            <w:r>
              <w:rPr>
                <w:rFonts w:ascii="宋体" w:hAnsi="宋体" w:eastAsia="宋体"/>
                <w:b w:val="0"/>
                <w:sz w:val="20"/>
              </w:rPr>
              <w:t>五个技术问题未编号，开头表述与模板「具体地说，要解决以下问题」风格不一致</w:t>
            </w:r>
          </w:p>
        </w:tc>
        <w:tc>
          <w:tcPr>
            <w:tcW w:type="dxa" w:w="2160"/>
          </w:tcPr>
          <w:p>
            <w:r/>
            <w:r>
              <w:rPr>
                <w:rFonts w:ascii="宋体" w:hAnsi="宋体" w:eastAsia="宋体"/>
                <w:b w:val="0"/>
                <w:sz w:val="20"/>
              </w:rPr>
              <w:t>建议优化</w:t>
            </w:r>
          </w:p>
        </w:tc>
      </w:tr>
      <w:tr>
        <w:tc>
          <w:tcPr>
            <w:tcW w:type="dxa" w:w="2160"/>
          </w:tcPr>
          <w:p>
            <w:r/>
            <w:r>
              <w:rPr>
                <w:rFonts w:ascii="宋体" w:hAnsi="宋体" w:eastAsia="宋体"/>
                <w:b w:val="0"/>
                <w:sz w:val="20"/>
              </w:rPr>
              <w:t>6</w:t>
            </w:r>
          </w:p>
        </w:tc>
        <w:tc>
          <w:tcPr>
            <w:tcW w:type="dxa" w:w="2160"/>
          </w:tcPr>
          <w:p>
            <w:r/>
            <w:r>
              <w:rPr>
                <w:rFonts w:ascii="宋体" w:hAnsi="宋体" w:eastAsia="宋体"/>
                <w:b w:val="0"/>
                <w:sz w:val="20"/>
              </w:rPr>
              <w:t>全文</w:t>
            </w:r>
          </w:p>
        </w:tc>
        <w:tc>
          <w:tcPr>
            <w:tcW w:type="dxa" w:w="2160"/>
          </w:tcPr>
          <w:p>
            <w:r/>
            <w:r>
              <w:rPr>
                <w:rFonts w:ascii="宋体" w:hAnsi="宋体" w:eastAsia="宋体"/>
                <w:b w:val="0"/>
                <w:sz w:val="20"/>
              </w:rPr>
              <w:t>图1–图6缺少详细文字描述（模板要求「所有附图都应有详细文字描述」）</w:t>
            </w:r>
          </w:p>
        </w:tc>
        <w:tc>
          <w:tcPr>
            <w:tcW w:type="dxa" w:w="2160"/>
          </w:tcPr>
          <w:p>
            <w:r/>
            <w:r>
              <w:rPr>
                <w:rFonts w:ascii="宋体" w:hAnsi="宋体" w:eastAsia="宋体"/>
                <w:b w:val="0"/>
                <w:sz w:val="20"/>
              </w:rPr>
              <w:t>建议优化</w:t>
            </w:r>
          </w:p>
        </w:tc>
      </w:tr>
      <w:tr>
        <w:tc>
          <w:tcPr>
            <w:tcW w:type="dxa" w:w="2160"/>
          </w:tcPr>
          <w:p>
            <w:r/>
            <w:r>
              <w:rPr>
                <w:rFonts w:ascii="宋体" w:hAnsi="宋体" w:eastAsia="宋体"/>
                <w:b w:val="0"/>
                <w:sz w:val="20"/>
              </w:rPr>
              <w:t>7</w:t>
            </w:r>
          </w:p>
        </w:tc>
        <w:tc>
          <w:tcPr>
            <w:tcW w:type="dxa" w:w="2160"/>
          </w:tcPr>
          <w:p>
            <w:r/>
            <w:r>
              <w:rPr>
                <w:rFonts w:ascii="宋体" w:hAnsi="宋体" w:eastAsia="宋体"/>
                <w:b w:val="0"/>
                <w:sz w:val="20"/>
              </w:rPr>
              <w:t>第3部分</w:t>
            </w:r>
          </w:p>
        </w:tc>
        <w:tc>
          <w:tcPr>
            <w:tcW w:type="dxa" w:w="2160"/>
          </w:tcPr>
          <w:p>
            <w:r/>
            <w:r>
              <w:rPr>
                <w:rFonts w:ascii="宋体" w:hAnsi="宋体" w:eastAsia="宋体"/>
                <w:b w:val="0"/>
                <w:sz w:val="20"/>
              </w:rPr>
              <w:t>缺点→因果推导→目的效果的链条可更完整（现有技术铺垫略少）</w:t>
            </w:r>
          </w:p>
        </w:tc>
        <w:tc>
          <w:tcPr>
            <w:tcW w:type="dxa" w:w="2160"/>
          </w:tcPr>
          <w:p>
            <w:r/>
            <w:r>
              <w:rPr>
                <w:rFonts w:ascii="宋体" w:hAnsi="宋体" w:eastAsia="宋体"/>
                <w:b w:val="0"/>
                <w:sz w:val="20"/>
              </w:rPr>
              <w:t>建议优化</w:t>
            </w:r>
          </w:p>
        </w:tc>
      </w:tr>
      <w:tr>
        <w:tc>
          <w:tcPr>
            <w:tcW w:type="dxa" w:w="2160"/>
          </w:tcPr>
          <w:p>
            <w:r/>
            <w:r>
              <w:rPr>
                <w:rFonts w:ascii="宋体" w:hAnsi="宋体" w:eastAsia="宋体"/>
                <w:b w:val="0"/>
                <w:sz w:val="20"/>
              </w:rPr>
              <w:t>8</w:t>
            </w:r>
          </w:p>
        </w:tc>
        <w:tc>
          <w:tcPr>
            <w:tcW w:type="dxa" w:w="2160"/>
          </w:tcPr>
          <w:p>
            <w:r/>
            <w:r>
              <w:rPr>
                <w:rFonts w:ascii="宋体" w:hAnsi="宋体" w:eastAsia="宋体"/>
                <w:b w:val="0"/>
                <w:sz w:val="20"/>
              </w:rPr>
              <w:t>附录</w:t>
            </w:r>
          </w:p>
        </w:tc>
        <w:tc>
          <w:tcPr>
            <w:tcW w:type="dxa" w:w="2160"/>
          </w:tcPr>
          <w:p>
            <w:r/>
            <w:r>
              <w:rPr>
                <w:rFonts w:ascii="宋体" w:hAnsi="宋体" w:eastAsia="宋体"/>
                <w:b w:val="0"/>
                <w:sz w:val="20"/>
              </w:rPr>
              <w:t>可补充M0–M4消融模型表（资料Table 4），与正文呼应</w:t>
            </w:r>
          </w:p>
        </w:tc>
        <w:tc>
          <w:tcPr>
            <w:tcW w:type="dxa" w:w="2160"/>
          </w:tcPr>
          <w:p>
            <w:r/>
            <w:r>
              <w:rPr>
                <w:rFonts w:ascii="宋体" w:hAnsi="宋体" w:eastAsia="宋体"/>
                <w:b w:val="0"/>
                <w:sz w:val="20"/>
              </w:rPr>
              <w:t>可选补充</w:t>
            </w:r>
          </w:p>
        </w:tc>
      </w:tr>
    </w:tbl>
    <w:p/>
    <w:p>
      <w:pPr>
        <w:spacing w:before="240" w:after="120"/>
      </w:pPr>
      <w:r>
        <w:rPr>
          <w:rFonts w:ascii="黑体" w:hAnsi="黑体" w:eastAsia="黑体"/>
          <w:b/>
          <w:sz w:val="26"/>
        </w:rPr>
        <w:t>1.2 模板写作思路要点（作为优化依据）</w:t>
      </w:r>
    </w:p>
    <w:p>
      <w:pPr>
        <w:pStyle w:val="ListBullet"/>
        <w:spacing w:line="360" w:lineRule="auto"/>
      </w:pPr>
      <w:r>
        <w:rPr>
          <w:rFonts w:ascii="宋体" w:hAnsi="宋体" w:eastAsia="宋体"/>
          <w:b w:val="0"/>
          <w:sz w:val="22"/>
        </w:rPr>
        <w:t>第2部分是重头戏：先讲公知技术基础，再逐一描述最接近的现有技术方案（方法写步骤、装置写结构），引用文献支撑，最后自然引出本发明的必要性。</w:t>
      </w:r>
    </w:p>
    <w:p>
      <w:pPr>
        <w:pStyle w:val="ListBullet"/>
        <w:spacing w:line="360" w:lineRule="auto"/>
      </w:pPr>
      <w:r>
        <w:rPr>
          <w:rFonts w:ascii="宋体" w:hAnsi="宋体" w:eastAsia="宋体"/>
          <w:b w:val="0"/>
          <w:sz w:val="22"/>
        </w:rPr>
        <w:t>第3部分采用「缺点→对应目的与效果」一一对应的因果结构，每个缺点先点出现有技术的做法，再推导其不足。</w:t>
      </w:r>
    </w:p>
    <w:p>
      <w:pPr>
        <w:pStyle w:val="ListBullet"/>
        <w:spacing w:line="360" w:lineRule="auto"/>
      </w:pPr>
      <w:r>
        <w:rPr>
          <w:rFonts w:ascii="宋体" w:hAnsi="宋体" w:eastAsia="宋体"/>
          <w:b w:val="0"/>
          <w:sz w:val="22"/>
        </w:rPr>
        <w:t>第4部分必须结合附图详细说明，每个公式后紧跟「其中，××：……」的变量说明；末尾须有具体实施例/实验验证，用实测数据说话。</w:t>
      </w:r>
    </w:p>
    <w:p>
      <w:pPr>
        <w:pStyle w:val="ListBullet"/>
        <w:spacing w:line="360" w:lineRule="auto"/>
      </w:pPr>
      <w:r>
        <w:rPr>
          <w:rFonts w:ascii="宋体" w:hAnsi="宋体" w:eastAsia="宋体"/>
          <w:b w:val="0"/>
          <w:sz w:val="22"/>
        </w:rPr>
        <w:t>第5部分提炼创新点（欲保护点），第6部分尽量多列替代方案以充分公开。</w:t>
      </w:r>
    </w:p>
    <w:p>
      <w:pPr>
        <w:spacing w:before="360" w:after="160"/>
      </w:pPr>
      <w:r>
        <w:rPr>
          <w:rFonts w:ascii="黑体" w:hAnsi="黑体" w:eastAsia="黑体"/>
          <w:b/>
          <w:sz w:val="32"/>
        </w:rPr>
        <w:t>二、逐章节优化方案</w:t>
      </w:r>
    </w:p>
    <w:p>
      <w:pPr>
        <w:spacing w:before="240" w:after="120"/>
      </w:pPr>
      <w:r>
        <w:rPr>
          <w:rFonts w:ascii="黑体" w:hAnsi="黑体" w:eastAsia="黑体"/>
          <w:b/>
          <w:sz w:val="26"/>
        </w:rPr>
        <w:t>2.1 封面表：发明名称替换</w:t>
      </w:r>
    </w:p>
    <w:p>
      <w:pPr>
        <w:spacing w:before="120" w:after="40"/>
      </w:pPr>
      <w:r>
        <w:rPr>
          <w:rFonts w:ascii="黑体" w:hAnsi="黑体" w:eastAsia="黑体"/>
          <w:b/>
          <w:color w:val="C00000"/>
          <w:sz w:val="21"/>
        </w:rPr>
        <w:t>【必须修改】</w:t>
      </w:r>
    </w:p>
    <w:p>
      <w:pPr>
        <w:spacing w:line="360" w:lineRule="auto" w:after="80"/>
        <w:ind w:firstLine="440"/>
      </w:pPr>
      <w:r>
        <w:rPr>
          <w:rFonts w:ascii="宋体" w:hAnsi="宋体" w:eastAsia="宋体"/>
          <w:b w:val="0"/>
          <w:sz w:val="22"/>
        </w:rPr>
        <w:t>现状：封面表第3行「发明名称」仍为模板示例「采用照相拼图的工件定位方法和装置」。</w:t>
      </w:r>
    </w:p>
    <w:p>
      <w:pPr>
        <w:spacing w:line="360" w:lineRule="auto" w:after="80"/>
        <w:ind w:firstLine="440"/>
      </w:pPr>
      <w:r>
        <w:rPr>
          <w:rFonts w:ascii="宋体" w:hAnsi="宋体" w:eastAsia="宋体"/>
          <w:b w:val="0"/>
          <w:sz w:val="22"/>
        </w:rPr>
        <w:t>修改：替换为本发明名称（与资料一致）。</w:t>
      </w:r>
    </w:p>
    <w:p>
      <w:pPr>
        <w:spacing w:before="80" w:after="160" w:line="336" w:lineRule="auto"/>
        <w:ind w:left="454" w:right="454"/>
        <w:shd w:val="clear" w:color="auto" w:fill="F2F2F2"/>
      </w:pPr>
      <w:r>
        <w:rPr>
          <w:rFonts w:ascii="仿宋" w:hAnsi="仿宋" w:eastAsia="仿宋"/>
          <w:b w:val="0"/>
          <w:sz w:val="21"/>
        </w:rPr>
        <w:t>一种基于双状态机制门控及多尺度观测约束的超快激光多脉冲烧蚀形貌预测方法</w:t>
      </w:r>
    </w:p>
    <w:p>
      <w:pPr>
        <w:spacing w:line="360" w:lineRule="auto" w:after="80"/>
        <w:ind w:firstLine="440"/>
      </w:pPr>
      <w:r>
        <w:rPr>
          <w:rFonts w:ascii="宋体" w:hAnsi="宋体" w:eastAsia="宋体"/>
          <w:b w:val="0"/>
          <w:sz w:val="22"/>
        </w:rPr>
        <w:t>说明：若名称较长，可在表格单元格内手动换行分为两行，与资料封面表一致；不改变表格列宽和字体。</w:t>
      </w:r>
    </w:p>
    <w:p>
      <w:pPr>
        <w:spacing w:before="240" w:after="120"/>
      </w:pPr>
      <w:r>
        <w:rPr>
          <w:rFonts w:ascii="黑体" w:hAnsi="黑体" w:eastAsia="黑体"/>
          <w:b/>
          <w:sz w:val="26"/>
        </w:rPr>
        <w:t>2.2 第1部分：技术问题表述优化</w:t>
      </w:r>
    </w:p>
    <w:p>
      <w:pPr>
        <w:spacing w:before="120" w:after="40"/>
      </w:pPr>
      <w:r>
        <w:rPr>
          <w:rFonts w:ascii="黑体" w:hAnsi="黑体" w:eastAsia="黑体"/>
          <w:b/>
          <w:color w:val="C00000"/>
          <w:sz w:val="21"/>
        </w:rPr>
        <w:t>【建议优化】</w:t>
      </w:r>
    </w:p>
    <w:p>
      <w:pPr>
        <w:spacing w:line="360" w:lineRule="auto" w:after="80"/>
        <w:ind w:firstLine="440"/>
      </w:pPr>
      <w:r>
        <w:rPr>
          <w:rFonts w:ascii="宋体" w:hAnsi="宋体" w:eastAsia="宋体"/>
          <w:b w:val="0"/>
          <w:sz w:val="22"/>
        </w:rPr>
        <w:t>现状：开头为「总体问题：如何把……」，五个技术问题为无编号Normal段落。</w:t>
      </w:r>
    </w:p>
    <w:p>
      <w:pPr>
        <w:spacing w:line="360" w:lineRule="auto" w:after="80"/>
        <w:ind w:firstLine="440"/>
      </w:pPr>
      <w:r>
        <w:rPr>
          <w:rFonts w:ascii="宋体" w:hAnsi="宋体" w:eastAsia="宋体"/>
          <w:b w:val="0"/>
          <w:sz w:val="22"/>
        </w:rPr>
        <w:t>模板风格：「本发明要解决的技术问题是如何……具体地说，要解决以下的问题：（1）……（2）……」</w:t>
      </w:r>
    </w:p>
    <w:p>
      <w:pPr>
        <w:spacing w:line="360" w:lineRule="auto" w:after="80"/>
        <w:ind w:firstLine="440"/>
      </w:pPr>
      <w:r>
        <w:rPr>
          <w:rFonts w:ascii="宋体" w:hAnsi="宋体" w:eastAsia="宋体"/>
          <w:b w:val="0"/>
          <w:sz w:val="22"/>
        </w:rPr>
        <w:t>修改建议：将开头段调整为以下表述，并为五个技术问题添加（1）–（5）编号（仅文字内容，不改变段落样式）。</w:t>
      </w:r>
    </w:p>
    <w:p>
      <w:pPr>
        <w:spacing w:before="80" w:after="160" w:line="336" w:lineRule="auto"/>
        <w:ind w:left="454" w:right="454"/>
        <w:shd w:val="clear" w:color="auto" w:fill="F2F2F2"/>
      </w:pPr>
      <w:r>
        <w:rPr>
          <w:rFonts w:ascii="仿宋" w:hAnsi="仿宋" w:eastAsia="仿宋"/>
          <w:b w:val="0"/>
          <w:sz w:val="21"/>
        </w:rPr>
        <w:t>本发明面向超快/超短脉冲激光材料去除过程，要解决的技术问题是如何把「单次/少量脉冲的局部响应」与「多脉冲、多扫描线、多遍加工形成的宏观形貌」连接起来，而且这种连接既能逐脉冲计算，又能被实际实验数据校准和验证。具体地说，要解决以下的问题：</w:t>
        <w:br/>
        <w:t>（1）如何表示「材料记忆」。现有逐脉冲模型通常把当前表面形貌作为主要甚至唯一的历史信息载体，但多脉冲作用还会改变材料内部缺陷、弱化程度、残余热状态或吸收特性。几何形貌相近并不意味着材料一定处于相同的后续烧蚀状态，因此需要在表面形貌Hₙ之外引入独立的脉冲历史材料状态Zₙ。</w:t>
        <w:br/>
        <w:t>（2）如何描述不同加工阶段的去除响应。单一固定烧蚀公式难以同时覆盖单线、重复扫描和高重叠槽加工。需要根据当前形貌、历史材料状态和当前脉冲条件，自适应确定多个材料去除状态子模型的贡献。</w:t>
        <w:br/>
        <w:t>（3）不可直接观测的状态如何被实验约束。历史材料状态和材料去除状态通常难以直接在线测量，而现有实验已经积累单线和矩形槽的共聚焦点云。需要利用单线宽度/深度与槽深度/粗糙度两类尺度不同、信息互补的压缩观测，对同一个微观模型实施联合约束和反演校准。</w:t>
        <w:br/>
        <w:t>（4）小样本条件下，AI应该学习什么。本发明不把AI用作「工艺参数→槽深/粗糙度」的直接黑箱回归，而是优先用于学习不可直接观测的状态演化、门控权重或难解析残差，并通过跨频率、跨填充间距、跨重复加工次数等未见工况检验其预测能力。</w:t>
        <w:br/>
        <w:t>（5）如何落到工程应用。模型最终应能输出多脉冲加工形貌及槽深、粗糙度等工程指标，并可进一步用于工艺参数筛选和加工窗口优化。</w:t>
      </w:r>
    </w:p>
    <w:p>
      <w:pPr>
        <w:spacing w:before="240" w:after="120"/>
      </w:pPr>
      <w:r>
        <w:rPr>
          <w:rFonts w:ascii="黑体" w:hAnsi="黑体" w:eastAsia="黑体"/>
          <w:b/>
          <w:sz w:val="26"/>
        </w:rPr>
        <w:t>2.3 第2部分：技术背景补全（全文最大缺口）</w:t>
      </w:r>
    </w:p>
    <w:p>
      <w:pPr>
        <w:spacing w:before="120" w:after="40"/>
      </w:pPr>
      <w:r>
        <w:rPr>
          <w:rFonts w:ascii="黑体" w:hAnsi="黑体" w:eastAsia="黑体"/>
          <w:b/>
          <w:color w:val="C00000"/>
          <w:sz w:val="21"/>
        </w:rPr>
        <w:t>【必须修改】</w:t>
      </w:r>
    </w:p>
    <w:p>
      <w:pPr>
        <w:spacing w:line="360" w:lineRule="auto" w:after="80"/>
        <w:ind w:firstLine="440"/>
      </w:pPr>
      <w:r>
        <w:rPr>
          <w:rFonts w:ascii="宋体" w:hAnsi="宋体" w:eastAsia="宋体"/>
          <w:b w:val="0"/>
          <w:sz w:val="22"/>
        </w:rPr>
        <w:t>现状：第2部分标题后有5个空段落，无任何文字内容。模板中该部分是占比最大的章节之一。</w:t>
      </w:r>
    </w:p>
    <w:p>
      <w:pPr>
        <w:spacing w:line="360" w:lineRule="auto" w:after="80"/>
        <w:ind w:firstLine="440"/>
      </w:pPr>
      <w:r>
        <w:rPr>
          <w:rFonts w:ascii="宋体" w:hAnsi="宋体" w:eastAsia="宋体"/>
          <w:b w:val="0"/>
          <w:sz w:val="22"/>
        </w:rPr>
        <w:t>修改：在5个空段落中填入以下三段内容（对应资料2.1公知物理基础、2.2最接近现有技术及查新判断、2.3 AI专利撰写考虑），全部使用现有Normal样式。现有技术对比表（Table 1）保留不动，文字部分与表格形成「叙述+表格」互补。</w:t>
      </w:r>
    </w:p>
    <w:p>
      <w:pPr>
        <w:spacing w:before="160" w:after="80"/>
      </w:pPr>
      <w:r>
        <w:rPr>
          <w:rFonts w:ascii="黑体" w:hAnsi="黑体" w:eastAsia="黑体"/>
          <w:b/>
          <w:sz w:val="23"/>
        </w:rPr>
        <w:t>补充段落一：公知物理基础</w:t>
      </w:r>
    </w:p>
    <w:p>
      <w:pPr>
        <w:spacing w:before="80" w:after="160" w:line="336" w:lineRule="auto"/>
        <w:ind w:left="454" w:right="454"/>
        <w:shd w:val="clear" w:color="auto" w:fill="F2F2F2"/>
      </w:pPr>
      <w:r>
        <w:rPr>
          <w:rFonts w:ascii="仿宋" w:hAnsi="仿宋" w:eastAsia="仿宋"/>
          <w:b w:val="0"/>
          <w:sz w:val="21"/>
        </w:rPr>
        <w:t>超快激光烧蚀的材料去除量通常与局部能流密度、烧蚀阈值、脉冲数、脉宽、重复频率、光斑重叠以及表面状态等有关。经典对数烧蚀定律、Liu D²阈值法和孵化效应模型可用于描述部分工况，但这些模型通常采用固定或仅随脉冲数变化的材料参数。2025年提出的threshold-refined ablation model（TRM）通过在对数烧蚀关系中加入最小烧蚀深度d₀改善单脉冲/近阈值预测，可作为本发明中材料去除状态子模型的一种可选基础形式，而不是本发明的核心创新。多脉冲过程存在孵化、热积累、吸收率变化、表面粗糙化、再沉积等历史效应。2026年有关孵化机制的研究表明，不同金属的阈值下降可由不同物理来源主导；同年针对奥氏体不锈钢的逐脉冲时间分辨预印本进一步观察到前几个脉冲之间的瞬态材料去除响应发生显著转变。这些研究为「历史材料状态」和「去除状态门控」的物理合理性提供支撑，但其具体机理不应在本发明独立权利要求中写死。</w:t>
      </w:r>
    </w:p>
    <w:p>
      <w:pPr>
        <w:spacing w:before="160" w:after="80"/>
      </w:pPr>
      <w:r>
        <w:rPr>
          <w:rFonts w:ascii="黑体" w:hAnsi="黑体" w:eastAsia="黑体"/>
          <w:b/>
          <w:sz w:val="23"/>
        </w:rPr>
        <w:t>补充段落二：最接近的现有技术方案</w:t>
      </w:r>
    </w:p>
    <w:p>
      <w:pPr>
        <w:spacing w:before="80" w:after="160" w:line="336" w:lineRule="auto"/>
        <w:ind w:left="454" w:right="454"/>
        <w:shd w:val="clear" w:color="auto" w:fill="F2F2F2"/>
      </w:pPr>
      <w:r>
        <w:rPr>
          <w:rFonts w:ascii="仿宋" w:hAnsi="仿宋" w:eastAsia="仿宋"/>
          <w:b w:val="0"/>
          <w:sz w:val="21"/>
        </w:rPr>
        <w:t>在超快激光多脉冲烧蚀形貌预测方面，已有若干公开方案。Tani和Kobayashi（2022）用单次脉冲前后形貌训练深度网络，并递归预测任意位置、任意脉冲能量下的多脉冲三维形貌，文中明确认为当前局部表面形貌可表征前序脉冲累积变化。CN118536273A建立Z-Map/ZM-Map，按网格统计有效脉冲数N，并由N计算多脉冲烧蚀阈值，逐脉冲更新表面形貌。CN121348803B面向单行划线和多行扫描，提取与当前烧蚀/再沉积区域重叠的脉冲集合，使用逐脉冲烧蚀模型局部迭代，并通过坐标转换/布尔运算组合形貌。Mottay（2025）将双温模型（TTM）与残差神经网络混合，针对硅、钢、铜、铝的line与raster数据，在10–100个样本的小数据条件下提升烧蚀深度预测。此外，Li等（2026）以注意力机制和单调物理约束直接预测飞秒激光槽深；Grbčić等（2025）利用多保真机器学习与高通量飞秒激光实验进行光子表面逆向设计。上述方案分别从逐脉冲递推、有效脉冲计数、物理-AI混合、宏观黑箱预测等角度开展研究，但均未同时公开「表面形貌状态与独立脉冲历史材料状态的双状态递推 + 历史状态驱动的多材料去除状态门控 + 单线宽/深与槽深/粗糙度双尺度压缩观测对同一微观模型的联合反演/校准」这一完整技术链。</w:t>
      </w:r>
    </w:p>
    <w:p>
      <w:pPr>
        <w:spacing w:before="160" w:after="80"/>
      </w:pPr>
      <w:r>
        <w:rPr>
          <w:rFonts w:ascii="黑体" w:hAnsi="黑体" w:eastAsia="黑体"/>
          <w:b/>
          <w:sz w:val="23"/>
        </w:rPr>
        <w:t>补充段落三：查新结论与AI专利撰写考虑</w:t>
      </w:r>
    </w:p>
    <w:p>
      <w:pPr>
        <w:spacing w:before="80" w:after="160" w:line="336" w:lineRule="auto"/>
        <w:ind w:left="454" w:right="454"/>
        <w:shd w:val="clear" w:color="auto" w:fill="F2F2F2"/>
      </w:pPr>
      <w:r>
        <w:rPr>
          <w:rFonts w:ascii="仿宋" w:hAnsi="仿宋" w:eastAsia="仿宋"/>
          <w:b w:val="0"/>
          <w:sz w:val="21"/>
        </w:rPr>
        <w:t>截至本交底书撰写时，本轮定向检索未发现单一强相关文献同时公开上述完整技术链。该结论仅用于确定交底书撰写方向，不等同于正式全球新颖性或自由实施（FTO）法律意见。国家知识产权局2025年典型复审案例明确指出：当具体应用场景使算法/模型在结构、训练数据、输入输出、模型选择等方面发生实质性调整，且该调整非显而易见并产生相应技术效果时，应当在创造性评价中予以整体考虑。因此，本发明不把「MoE、FNO、Transformer、PINN」等算法名称作为独立创造性来源，而将算法结构与超快激光的具体物理状态、脉冲历史和多尺度实验观测绑定。</w:t>
      </w:r>
    </w:p>
    <w:p>
      <w:pPr>
        <w:spacing w:line="360" w:lineRule="auto" w:after="80"/>
        <w:ind w:firstLine="440"/>
      </w:pPr>
      <w:r>
        <w:rPr>
          <w:rFonts w:ascii="宋体" w:hAnsi="宋体" w:eastAsia="宋体"/>
          <w:b w:val="0"/>
          <w:sz w:val="22"/>
        </w:rPr>
        <w:t>提示：三段内容填入后，第2部分约5–6个段落，与模板该部分的篇幅比重基本匹配。若5个空段落不够，可在Normal样式下插入新段落（不新建样式）。</w:t>
      </w:r>
    </w:p>
    <w:p>
      <w:pPr>
        <w:spacing w:before="240" w:after="120"/>
      </w:pPr>
      <w:r>
        <w:rPr>
          <w:rFonts w:ascii="黑体" w:hAnsi="黑体" w:eastAsia="黑体"/>
          <w:b/>
          <w:sz w:val="26"/>
        </w:rPr>
        <w:t>2.4 第3部分：因果关系轻度强化</w:t>
      </w:r>
    </w:p>
    <w:p>
      <w:pPr>
        <w:spacing w:before="120" w:after="40"/>
      </w:pPr>
      <w:r>
        <w:rPr>
          <w:rFonts w:ascii="黑体" w:hAnsi="黑体" w:eastAsia="黑体"/>
          <w:b/>
          <w:color w:val="C00000"/>
          <w:sz w:val="21"/>
        </w:rPr>
        <w:t>【建议优化】</w:t>
      </w:r>
    </w:p>
    <w:p>
      <w:pPr>
        <w:spacing w:line="360" w:lineRule="auto" w:after="80"/>
        <w:ind w:firstLine="440"/>
      </w:pPr>
      <w:r>
        <w:rPr>
          <w:rFonts w:ascii="宋体" w:hAnsi="宋体" w:eastAsia="宋体"/>
          <w:b w:val="0"/>
          <w:sz w:val="22"/>
        </w:rPr>
        <w:t>现状：五个缺点均直接以「××存在信息缺失/过度压缩/难以覆盖」开头，缺少「现有技术采用了什么做法」的铺垫，因果推导感略弱。</w:t>
      </w:r>
    </w:p>
    <w:p>
      <w:pPr>
        <w:spacing w:line="360" w:lineRule="auto" w:after="80"/>
        <w:ind w:firstLine="440"/>
      </w:pPr>
      <w:r>
        <w:rPr>
          <w:rFonts w:ascii="宋体" w:hAnsi="宋体" w:eastAsia="宋体"/>
          <w:b w:val="0"/>
          <w:sz w:val="22"/>
        </w:rPr>
        <w:t>修改建议：在每个缺点句首补充半句现有技术做法的铺垫，使「现有做法→导致问题→本发明对策」的链条更完整。以下为五个缺点的优化后完整表述（目的与效果部分保持不变）。</w:t>
      </w:r>
    </w:p>
    <w:p>
      <w:pPr>
        <w:spacing w:before="80" w:after="160" w:line="336" w:lineRule="auto"/>
        <w:ind w:left="454" w:right="454"/>
        <w:shd w:val="clear" w:color="auto" w:fill="F2F2F2"/>
      </w:pPr>
      <w:r>
        <w:rPr>
          <w:rFonts w:ascii="仿宋" w:hAnsi="仿宋" w:eastAsia="仿宋"/>
          <w:b w:val="0"/>
          <w:sz w:val="21"/>
        </w:rPr>
        <w:t>缺点一：现有逐脉冲模型通常仅以当前表面形貌Hₙ作为预测下一脉冲响应的状态载体，这一单状态假设存在信息缺失——若仅使用Hₙ预测下一脉冲响应，则无法显式区分几何形貌相近但先前脉冲能量、时间间隔、扫描顺序不同的材料状态。</w:t>
        <w:br/>
        <w:t>缺点二：现有多脉冲模型常把脉冲历史压缩为有效脉冲数N或孵化系数F_th(N)，这种过度压缩会丢失脉冲能量分配、时间间隔、局部重叠和先后顺序等信息。</w:t>
        <w:br/>
        <w:t>缺点三：现有烧蚀关系多采用单一固定公式（如对数烧蚀定律或其变体），需要用一组参数同时拟合近阈值、强重叠、多遍扫描等不同状态，易产生不可解释的参数漂移，因此单一去除模型难以覆盖不同加工阶段。</w:t>
        <w:br/>
        <w:t>缺点四：现有微观模型校准通常仅依赖槽平均深度等单一宏观指标，而仅以槽平均深度训练会产生较强不可辨识性——不同Zₙ/πₘ组合可能得到相近槽深。</w:t>
        <w:br/>
        <w:t>缺点五：现有AI方案多采用工艺参数直接回归槽深/粗糙度的纯黑箱架构，容易对DOE离散水平产生记忆，且难解释跨工况外推，其泛化能力与专利技术贡献均有限。</w:t>
      </w:r>
    </w:p>
    <w:p>
      <w:pPr>
        <w:spacing w:line="360" w:lineRule="auto" w:after="80"/>
        <w:ind w:firstLine="440"/>
      </w:pPr>
      <w:r>
        <w:rPr>
          <w:rFonts w:ascii="宋体" w:hAnsi="宋体" w:eastAsia="宋体"/>
          <w:b w:val="0"/>
          <w:sz w:val="22"/>
        </w:rPr>
        <w:t>说明：五个「对应目的与效果」段落保持原文不动，与优化后的缺点句仍一一对应。</w:t>
      </w:r>
    </w:p>
    <w:p>
      <w:pPr>
        <w:spacing w:before="240" w:after="120"/>
      </w:pPr>
      <w:r>
        <w:rPr>
          <w:rFonts w:ascii="黑体" w:hAnsi="黑体" w:eastAsia="黑体"/>
          <w:b/>
          <w:sz w:val="26"/>
        </w:rPr>
        <w:t>2.5 第4部分：技术方案补充与完善</w:t>
      </w:r>
    </w:p>
    <w:p>
      <w:pPr>
        <w:spacing w:before="160" w:after="80"/>
      </w:pPr>
      <w:r>
        <w:rPr>
          <w:rFonts w:ascii="黑体" w:hAnsi="黑体" w:eastAsia="黑体"/>
          <w:b/>
          <w:sz w:val="23"/>
        </w:rPr>
        <w:t>2.5.1 公式变量说明补全</w:t>
      </w:r>
    </w:p>
    <w:p>
      <w:pPr>
        <w:spacing w:before="120" w:after="40"/>
      </w:pPr>
      <w:r>
        <w:rPr>
          <w:rFonts w:ascii="黑体" w:hAnsi="黑体" w:eastAsia="黑体"/>
          <w:b/>
          <w:color w:val="C00000"/>
          <w:sz w:val="21"/>
        </w:rPr>
        <w:t>【必须修改】</w:t>
      </w:r>
    </w:p>
    <w:p>
      <w:pPr>
        <w:spacing w:line="360" w:lineRule="auto" w:after="80"/>
        <w:ind w:firstLine="440"/>
      </w:pPr>
      <w:r>
        <w:rPr>
          <w:rFonts w:ascii="宋体" w:hAnsi="宋体" w:eastAsia="宋体"/>
          <w:b w:val="0"/>
          <w:sz w:val="22"/>
        </w:rPr>
        <w:t>现状：第（3）小节中Cₙ₊₁和Θₙ₊₁两个低维实施例公式后直接接「上述形式仅为实施例……」，缺少T_C、T_T、Φ_C、Φ_T等符号的说明。模板中每个公式后均有「其中，××：……」变量解释。</w:t>
      </w:r>
    </w:p>
    <w:p>
      <w:pPr>
        <w:spacing w:line="360" w:lineRule="auto" w:after="80"/>
        <w:ind w:firstLine="440"/>
      </w:pPr>
      <w:r>
        <w:rPr>
          <w:rFonts w:ascii="宋体" w:hAnsi="宋体" w:eastAsia="宋体"/>
          <w:b w:val="0"/>
          <w:sz w:val="22"/>
        </w:rPr>
        <w:t>修改：在两个公式之后、「上述形式仅为实施例」之前插入以下变量说明段落（Normal样式）。</w:t>
      </w:r>
    </w:p>
    <w:p>
      <w:pPr>
        <w:spacing w:before="80" w:after="160" w:line="336" w:lineRule="auto"/>
        <w:ind w:left="454" w:right="454"/>
        <w:shd w:val="clear" w:color="auto" w:fill="F2F2F2"/>
      </w:pPr>
      <w:r>
        <w:rPr>
          <w:rFonts w:ascii="仿宋" w:hAnsi="仿宋" w:eastAsia="仿宋"/>
          <w:b w:val="0"/>
          <w:sz w:val="21"/>
        </w:rPr>
        <w:t>其中，T_C和T_T分别为材料弱化状态和残余热状态的特征恢复/衰减时间常数；Φ_C和Φ_T为当前脉冲能流密度、脉宽和表面形貌驱动的状态增量函数，可采用解析经验公式或小型神经网络实现；exp(−Δtₙ/T_C)和exp(−Δtₙ/T_T)表征两次脉冲之间历史状态的自然恢复或衰减，允许不同状态分量具有不同的时间尺度。</w:t>
      </w:r>
    </w:p>
    <w:p>
      <w:pPr>
        <w:spacing w:before="160" w:after="80"/>
      </w:pPr>
      <w:r>
        <w:rPr>
          <w:rFonts w:ascii="黑体" w:hAnsi="黑体" w:eastAsia="黑体"/>
          <w:b/>
          <w:sz w:val="23"/>
        </w:rPr>
        <w:t>2.5.2 六张附图的详细文字描述补全</w:t>
      </w:r>
    </w:p>
    <w:p>
      <w:pPr>
        <w:spacing w:before="120" w:after="40"/>
      </w:pPr>
      <w:r>
        <w:rPr>
          <w:rFonts w:ascii="黑体" w:hAnsi="黑体" w:eastAsia="黑体"/>
          <w:b/>
          <w:color w:val="C00000"/>
          <w:sz w:val="21"/>
        </w:rPr>
        <w:t>【建议优化】</w:t>
      </w:r>
    </w:p>
    <w:p>
      <w:pPr>
        <w:spacing w:line="360" w:lineRule="auto" w:after="80"/>
        <w:ind w:firstLine="440"/>
      </w:pPr>
      <w:r>
        <w:rPr>
          <w:rFonts w:ascii="宋体" w:hAnsi="宋体" w:eastAsia="宋体"/>
          <w:b w:val="0"/>
          <w:sz w:val="22"/>
        </w:rPr>
        <w:t>模板明确要求「所有附图都应该有详细的文字描述」。现状：图1–图6均仅有图题，缺少对图中内容及其与技术方案对应关系的说明。以下为每张图建议补充的描述文字，插入位置标注在每条开头。</w:t>
      </w:r>
    </w:p>
    <w:p>
      <w:pPr>
        <w:spacing w:line="360" w:lineRule="auto" w:after="80"/>
      </w:pPr>
      <w:r>
        <w:rPr>
          <w:rFonts w:ascii="宋体" w:hAnsi="宋体" w:eastAsia="宋体"/>
          <w:b/>
          <w:sz w:val="22"/>
        </w:rPr>
        <w:t>▸ 图1（插入位置：第1部分末尾、图题之前或之后）</w:t>
      </w:r>
    </w:p>
    <w:p>
      <w:pPr>
        <w:spacing w:before="80" w:after="160" w:line="336" w:lineRule="auto"/>
        <w:ind w:left="454" w:right="454"/>
        <w:shd w:val="clear" w:color="auto" w:fill="F2F2F2"/>
      </w:pPr>
      <w:r>
        <w:rPr>
          <w:rFonts w:ascii="仿宋" w:hAnsi="仿宋" w:eastAsia="仿宋"/>
          <w:b w:val="0"/>
          <w:sz w:val="21"/>
        </w:rPr>
        <w:t>图1示意了超快激光多脉冲扫描加工的基本过程：单个脉冲在材料表面产生局部去除响应，随脉冲数累积、扫描线横向重叠和多遍加工叠加，逐步形成具有一定深度和粗糙度的宏观槽形貌；该过程中表面几何状态与材料内部历史状态（缺陷、弱化、残余热等）共同演化，而非仅由当前几何决定。</w:t>
      </w:r>
    </w:p>
    <w:p>
      <w:pPr>
        <w:spacing w:line="360" w:lineRule="auto" w:after="80"/>
      </w:pPr>
      <w:r>
        <w:rPr>
          <w:rFonts w:ascii="宋体" w:hAnsi="宋体" w:eastAsia="宋体"/>
          <w:b/>
          <w:sz w:val="22"/>
        </w:rPr>
        <w:t>▸ 图2（插入位置：第3部分缺点一及其目的效果之后、图题附近）</w:t>
      </w:r>
    </w:p>
    <w:p>
      <w:pPr>
        <w:spacing w:before="80" w:after="160" w:line="336" w:lineRule="auto"/>
        <w:ind w:left="454" w:right="454"/>
        <w:shd w:val="clear" w:color="auto" w:fill="F2F2F2"/>
      </w:pPr>
      <w:r>
        <w:rPr>
          <w:rFonts w:ascii="仿宋" w:hAnsi="仿宋" w:eastAsia="仿宋"/>
          <w:b w:val="0"/>
          <w:sz w:val="21"/>
        </w:rPr>
        <w:t>图2示意了两条不同的脉冲历史路径（不同的脉冲能量分配、时间间隔或扫描顺序）可以达到几何上相近的表面形貌H，但其材料内部弱化程度、缺陷累积或残余热状态Z并不相同，因而对后续脉冲的去除响应也不同——这正是仅以Hₙ作为状态载体的信息缺失所在，也是引入独立Zₙ的直接动机。</w:t>
      </w:r>
    </w:p>
    <w:p>
      <w:pPr>
        <w:spacing w:line="360" w:lineRule="auto" w:after="80"/>
      </w:pPr>
      <w:r>
        <w:rPr>
          <w:rFonts w:ascii="宋体" w:hAnsi="宋体" w:eastAsia="宋体"/>
          <w:b/>
          <w:sz w:val="22"/>
        </w:rPr>
        <w:t>▸ 图3（插入位置：第3部分末尾、图题附近）</w:t>
      </w:r>
    </w:p>
    <w:p>
      <w:pPr>
        <w:spacing w:before="80" w:after="160" w:line="336" w:lineRule="auto"/>
        <w:ind w:left="454" w:right="454"/>
        <w:shd w:val="clear" w:color="auto" w:fill="F2F2F2"/>
      </w:pPr>
      <w:r>
        <w:rPr>
          <w:rFonts w:ascii="仿宋" w:hAnsi="仿宋" w:eastAsia="仿宋"/>
          <w:b w:val="0"/>
          <w:sz w:val="21"/>
        </w:rPr>
        <w:t>图3示意了单线观测（线宽、线深）与槽观测（槽深、Sa/Sq/Sz）对同一脉冲级微观模型的互补约束关系：单线观测主要约束局部去除子模型的横向/纵向响应，槽观测则强约束历史累积与空间均匀性；两类观测尺度不同、信息方向互补，单一尺度不足以唯一确定历史状态与门控参数。</w:t>
      </w:r>
    </w:p>
    <w:p>
      <w:pPr>
        <w:spacing w:line="360" w:lineRule="auto" w:after="80"/>
      </w:pPr>
      <w:r>
        <w:rPr>
          <w:rFonts w:ascii="宋体" w:hAnsi="宋体" w:eastAsia="宋体"/>
          <w:b/>
          <w:sz w:val="22"/>
        </w:rPr>
        <w:t>▸ 图4（插入位置：第4部分（2）总体技术路线、四步描述之后）</w:t>
      </w:r>
    </w:p>
    <w:p>
      <w:pPr>
        <w:spacing w:before="80" w:after="160" w:line="336" w:lineRule="auto"/>
        <w:ind w:left="454" w:right="454"/>
        <w:shd w:val="clear" w:color="auto" w:fill="F2F2F2"/>
      </w:pPr>
      <w:r>
        <w:rPr>
          <w:rFonts w:ascii="仿宋" w:hAnsi="仿宋" w:eastAsia="仿宋"/>
          <w:b w:val="0"/>
          <w:sz w:val="21"/>
        </w:rPr>
        <w:t>图4对应上述四步技术路线：第一步将脉冲能量/能流密度、脉宽、时间间隔、扫描位置等写入输入uₙ；第二步由Hₙ保存可见几何、Zₙ保存不可由当前几何唯一确定的历史信息；第三步门控函数根据Hₙ、Zₙ、uₙ给多个材料去除状态子模型分配权重，组合得到去除增量ΔHₙ并同步更新H与Z；第四步将预测形貌经观测算子转换为压缩观测量，与实验数据联合校准。</w:t>
      </w:r>
    </w:p>
    <w:p>
      <w:pPr>
        <w:spacing w:line="360" w:lineRule="auto" w:after="80"/>
      </w:pPr>
      <w:r>
        <w:rPr>
          <w:rFonts w:ascii="宋体" w:hAnsi="宋体" w:eastAsia="宋体"/>
          <w:b/>
          <w:sz w:val="22"/>
        </w:rPr>
        <w:t>▸ 图5（插入位置：第4部分（4）门控小节、公式之后）</w:t>
      </w:r>
    </w:p>
    <w:p>
      <w:pPr>
        <w:spacing w:before="80" w:after="160" w:line="336" w:lineRule="auto"/>
        <w:ind w:left="454" w:right="454"/>
        <w:shd w:val="clear" w:color="auto" w:fill="F2F2F2"/>
      </w:pPr>
      <w:r>
        <w:rPr>
          <w:rFonts w:ascii="仿宋" w:hAnsi="仿宋" w:eastAsia="仿宋"/>
          <w:b w:val="0"/>
          <w:sz w:val="21"/>
        </w:rPr>
        <w:t>图5展示了单个脉冲内部的计算流水线：由当前Hₙ、Zₙ和uₙ经门控函数G_θ计算得到各材料去除状态子模型的权重πₘ,ₙ（满足非负且和为1），加权组合各子模型输出得到当前去除增量ΔHₙ，再分别通过形貌更新算子U和状态转移函数S_θ同步更新Hₙ₊₁和Zₙ₊₁。</w:t>
      </w:r>
    </w:p>
    <w:p>
      <w:pPr>
        <w:spacing w:line="360" w:lineRule="auto" w:after="80"/>
      </w:pPr>
      <w:r>
        <w:rPr>
          <w:rFonts w:ascii="宋体" w:hAnsi="宋体" w:eastAsia="宋体"/>
          <w:b/>
          <w:sz w:val="22"/>
        </w:rPr>
        <w:t>▸ 图6（插入位置：第4部分（6）训练目标小节、目标函数之后）</w:t>
      </w:r>
    </w:p>
    <w:p>
      <w:pPr>
        <w:spacing w:before="80" w:after="160" w:line="336" w:lineRule="auto"/>
        <w:ind w:left="454" w:right="454"/>
        <w:shd w:val="clear" w:color="auto" w:fill="F2F2F2"/>
      </w:pPr>
      <w:r>
        <w:rPr>
          <w:rFonts w:ascii="仿宋" w:hAnsi="仿宋" w:eastAsia="仿宋"/>
          <w:b w:val="0"/>
          <w:sz w:val="21"/>
        </w:rPr>
        <w:t>图6展示了单线与槽多尺度压缩观测的联合反演闭环：模型递推得到预测最终形貌H_N后，分别通过单线观测算子O_line和槽观测算子O_groove得到预测线宽/线深与预测槽深/Sa/Sq/Sz，与从激光共聚焦点云按统一规则提取的实测压缩观测量比较，构造包含单线误差、槽误差、物理约束、状态约束和门控约束的联合目标函数，并反向更新历史状态转移参数、门控参数和去除子模型参数。</w:t>
      </w:r>
    </w:p>
    <w:p>
      <w:pPr>
        <w:spacing w:before="160" w:after="80"/>
      </w:pPr>
      <w:r>
        <w:rPr>
          <w:rFonts w:ascii="黑体" w:hAnsi="黑体" w:eastAsia="黑体"/>
          <w:b/>
          <w:sz w:val="23"/>
        </w:rPr>
        <w:t>2.5.3 算法消融与实施例验证补充</w:t>
      </w:r>
    </w:p>
    <w:p>
      <w:pPr>
        <w:spacing w:before="120" w:after="40"/>
      </w:pPr>
      <w:r>
        <w:rPr>
          <w:rFonts w:ascii="黑体" w:hAnsi="黑体" w:eastAsia="黑体"/>
          <w:b/>
          <w:color w:val="C00000"/>
          <w:sz w:val="21"/>
        </w:rPr>
        <w:t>【必须修改】</w:t>
      </w:r>
    </w:p>
    <w:p>
      <w:pPr>
        <w:spacing w:line="360" w:lineRule="auto" w:after="80"/>
        <w:ind w:firstLine="440"/>
      </w:pPr>
      <w:r>
        <w:rPr>
          <w:rFonts w:ascii="宋体" w:hAnsi="宋体" w:eastAsia="宋体"/>
          <w:b w:val="0"/>
          <w:sz w:val="22"/>
        </w:rPr>
        <w:t>现状：第4部分（6）训练目标与算法实现之后直接进入（7）预测输出，缺少资料中4.9「算法验证与消融实验设计」的内容。模板第4部分末尾有具体实施例/实验验证（含实测数值），本交底书虽暂无完整实验结果，但应给出消融实验设计，以证明各技术特征与技术效果的对应关系。</w:t>
      </w:r>
    </w:p>
    <w:p>
      <w:pPr>
        <w:spacing w:line="360" w:lineRule="auto" w:after="80"/>
        <w:ind w:firstLine="440"/>
      </w:pPr>
      <w:r>
        <w:rPr>
          <w:rFonts w:ascii="宋体" w:hAnsi="宋体" w:eastAsia="宋体"/>
          <w:b w:val="0"/>
          <w:sz w:val="22"/>
        </w:rPr>
        <w:t>修改：在第（6）小节末尾、「独立权利要求优选限定……」一句之后，补充以下消融实验设计段落（不新增小节编号，作为（6）的延续，保持格式不变）。</w:t>
      </w:r>
    </w:p>
    <w:p>
      <w:pPr>
        <w:spacing w:before="80" w:after="160" w:line="336" w:lineRule="auto"/>
        <w:ind w:left="454" w:right="454"/>
        <w:shd w:val="clear" w:color="auto" w:fill="F2F2F2"/>
      </w:pPr>
      <w:r>
        <w:rPr>
          <w:rFonts w:ascii="仿宋" w:hAnsi="仿宋" w:eastAsia="仿宋"/>
          <w:b w:val="0"/>
          <w:sz w:val="21"/>
        </w:rPr>
        <w:t>为了把每个专利技术特征与技术效果一一对应，建议设置以下消融模型进行对比验证：M0为XGBoost/ExtraTrees/小型MLP直接由工艺参数预测槽深和粗糙度，作为纯机器学习基线；M1为仅H状态的逐脉冲递推模型，对应现有Tani类思路；M2为H+Z双状态但仅一个材料去除子模型，用于验证独立历史材料状态的必要性；M3为H+Z加至少两个去除状态子模型及门控，用于验证状态切换结构的必要性；M4在M3基础上联合使用单线宽/深与槽深/粗糙度，用于验证微观—宏观多尺度耦合的价值。数据切分不得仅随机80/20，优选按完整工艺水平或组合留出，例如leave-one-frequency-out、leave-one-spacing-out、leave-one-pass-count-out；亦可设置「仅在单线训练中出现、未在槽训练中出现」的工艺组合，检验微观到宏观的跨尺度迁移能力。主要评价指标包括单线宽/深误差、槽深误差、Sa/Sq/Sz误差以及可选的点云/横截面高保真误差。技术效果重点比较M1→M2、M2→M3、M3→M4的增量增益，而非仅报告某一种网络的最高R²。</w:t>
      </w:r>
    </w:p>
    <w:p>
      <w:pPr>
        <w:spacing w:line="360" w:lineRule="auto" w:after="80"/>
        <w:ind w:firstLine="440"/>
      </w:pPr>
      <w:r>
        <w:rPr>
          <w:rFonts w:ascii="宋体" w:hAnsi="宋体" w:eastAsia="宋体"/>
          <w:b w:val="0"/>
          <w:sz w:val="22"/>
        </w:rPr>
        <w:t>可选：若希望与正文呼应，可在附录A.2后补充M0–M4消融模型表（资料Table 4，5列3行结构），表格样式可参照现有Table 3（模块/可选算法/作用）的格式。新增表格属于内容补充，不改变已有表格格式。</w:t>
      </w:r>
    </w:p>
    <w:p>
      <w:pPr>
        <w:spacing w:before="240" w:after="120"/>
      </w:pPr>
      <w:r>
        <w:rPr>
          <w:rFonts w:ascii="黑体" w:hAnsi="黑体" w:eastAsia="黑体"/>
          <w:b/>
          <w:sz w:val="26"/>
        </w:rPr>
        <w:t>2.6 第5、6部分：微调建议</w:t>
      </w:r>
    </w:p>
    <w:p>
      <w:pPr>
        <w:spacing w:before="120" w:after="40"/>
      </w:pPr>
      <w:r>
        <w:rPr>
          <w:rFonts w:ascii="黑体" w:hAnsi="黑体" w:eastAsia="黑体"/>
          <w:b/>
          <w:color w:val="C00000"/>
          <w:sz w:val="21"/>
        </w:rPr>
        <w:t>【建议优化】</w:t>
      </w:r>
    </w:p>
    <w:p>
      <w:pPr>
        <w:spacing w:line="360" w:lineRule="auto" w:after="80"/>
        <w:ind w:firstLine="440"/>
      </w:pPr>
      <w:r>
        <w:rPr>
          <w:rFonts w:ascii="宋体" w:hAnsi="宋体" w:eastAsia="宋体"/>
          <w:b w:val="0"/>
          <w:sz w:val="22"/>
        </w:rPr>
        <w:t>第5部分（8个欲保护点）和第6部分（8个替代方案）内容完整、与资料一致，质量较好，无需大改。仅提两点微调：</w:t>
      </w:r>
    </w:p>
    <w:p>
      <w:pPr>
        <w:pStyle w:val="ListBullet"/>
        <w:spacing w:line="360" w:lineRule="auto"/>
      </w:pPr>
      <w:r>
        <w:rPr>
          <w:rFonts w:ascii="宋体" w:hAnsi="宋体" w:eastAsia="宋体"/>
          <w:b w:val="0"/>
          <w:sz w:val="22"/>
        </w:rPr>
        <w:t>第5部分第（8）点「跨尺度验证」目前表述为「通过单线工况到槽工况迁移、留一频率/间距/遍次外推证明……」，建议在2.5.3补充消融实验后，将此处改为「通过M0–M4消融对比、单线工况到槽工况迁移、留一频率/间距/遍次外推证明……」，与正文消融设计形成呼应。</w:t>
      </w:r>
    </w:p>
    <w:p>
      <w:pPr>
        <w:pStyle w:val="ListBullet"/>
        <w:spacing w:line="360" w:lineRule="auto"/>
      </w:pPr>
      <w:r>
        <w:rPr>
          <w:rFonts w:ascii="宋体" w:hAnsi="宋体" w:eastAsia="宋体"/>
          <w:b w:val="0"/>
          <w:sz w:val="22"/>
        </w:rPr>
        <w:t>第6部分替代方案已覆盖Z的形式、子模型构成、门控方式、压缩观测、多保真、训练方式、前向/逆向、等效事件聚合，较为充分；可考虑补充第（9）条「材料特定参数与跨材料共享」——即同一双状态—门控结构可对不同材料分别训练参数，也可共享状态更新结构并设置材料嵌入，这与正文（7）的工程应用呼应。</w:t>
      </w:r>
    </w:p>
    <w:p>
      <w:pPr>
        <w:spacing w:before="240" w:after="120"/>
      </w:pPr>
      <w:r>
        <w:rPr>
          <w:rFonts w:ascii="黑体" w:hAnsi="黑体" w:eastAsia="黑体"/>
          <w:b/>
          <w:sz w:val="26"/>
        </w:rPr>
        <w:t>2.7 附录：可选补充</w:t>
      </w:r>
    </w:p>
    <w:p>
      <w:pPr>
        <w:spacing w:before="120" w:after="40"/>
      </w:pPr>
      <w:r>
        <w:rPr>
          <w:rFonts w:ascii="黑体" w:hAnsi="黑体" w:eastAsia="黑体"/>
          <w:b/>
          <w:color w:val="C00000"/>
          <w:sz w:val="21"/>
        </w:rPr>
        <w:t>【可选补充】</w:t>
      </w:r>
    </w:p>
    <w:p>
      <w:pPr>
        <w:spacing w:line="360" w:lineRule="auto" w:after="80"/>
        <w:ind w:firstLine="440"/>
      </w:pPr>
      <w:r>
        <w:rPr>
          <w:rFonts w:ascii="宋体" w:hAnsi="宋体" w:eastAsia="宋体"/>
          <w:b w:val="0"/>
          <w:sz w:val="22"/>
        </w:rPr>
        <w:t>附录A.1数据整理、A.2独权骨架、A.3代理人提示均完整。建议在A.2之后、A.3之前补充A.2.1「M0–M4最小算法实验表」，内容如下（表格可仿照现有Table 3样式）：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黑体" w:hAnsi="黑体" w:eastAsia="黑体"/>
                <w:b/>
                <w:sz w:val="20"/>
              </w:rPr>
              <w:t>模型</w:t>
            </w:r>
          </w:p>
        </w:tc>
        <w:tc>
          <w:tcPr>
            <w:tcW w:type="dxa" w:w="2880"/>
          </w:tcPr>
          <w:p>
            <w:r/>
            <w:r>
              <w:rPr>
                <w:rFonts w:ascii="黑体" w:hAnsi="黑体" w:eastAsia="黑体"/>
                <w:b/>
                <w:sz w:val="20"/>
              </w:rPr>
              <w:t>主要结构</w:t>
            </w:r>
          </w:p>
        </w:tc>
        <w:tc>
          <w:tcPr>
            <w:tcW w:type="dxa" w:w="2880"/>
          </w:tcPr>
          <w:p>
            <w:r/>
            <w:r>
              <w:rPr>
                <w:rFonts w:ascii="黑体" w:hAnsi="黑体" w:eastAsia="黑体"/>
                <w:b/>
                <w:sz w:val="20"/>
              </w:rPr>
              <w:t>验证目的</w:t>
            </w:r>
          </w:p>
        </w:tc>
      </w:tr>
      <w:tr>
        <w:tc>
          <w:tcPr>
            <w:tcW w:type="dxa" w:w="2880"/>
          </w:tcPr>
          <w:p>
            <w:r/>
            <w:r>
              <w:rPr>
                <w:rFonts w:ascii="宋体" w:hAnsi="宋体" w:eastAsia="宋体"/>
                <w:b w:val="0"/>
                <w:sz w:val="20"/>
              </w:rPr>
              <w:t>M0 宏观黑箱</w:t>
            </w:r>
          </w:p>
        </w:tc>
        <w:tc>
          <w:tcPr>
            <w:tcW w:type="dxa" w:w="2880"/>
          </w:tcPr>
          <w:p>
            <w:r/>
            <w:r>
              <w:rPr>
                <w:rFonts w:ascii="宋体" w:hAnsi="宋体" w:eastAsia="宋体"/>
                <w:b w:val="0"/>
                <w:sz w:val="20"/>
              </w:rPr>
              <w:t>工艺参数直接预测槽深/粗糙度</w:t>
            </w:r>
          </w:p>
        </w:tc>
        <w:tc>
          <w:tcPr>
            <w:tcW w:type="dxa" w:w="2880"/>
          </w:tcPr>
          <w:p>
            <w:r/>
            <w:r>
              <w:rPr>
                <w:rFonts w:ascii="宋体" w:hAnsi="宋体" w:eastAsia="宋体"/>
                <w:b w:val="0"/>
                <w:sz w:val="20"/>
              </w:rPr>
              <w:t>证明纯ML基线</w:t>
            </w:r>
          </w:p>
        </w:tc>
      </w:tr>
      <w:tr>
        <w:tc>
          <w:tcPr>
            <w:tcW w:type="dxa" w:w="2880"/>
          </w:tcPr>
          <w:p>
            <w:r/>
            <w:r>
              <w:rPr>
                <w:rFonts w:ascii="宋体" w:hAnsi="宋体" w:eastAsia="宋体"/>
                <w:b w:val="0"/>
                <w:sz w:val="20"/>
              </w:rPr>
              <w:t>M1 形貌单状态</w:t>
            </w:r>
          </w:p>
        </w:tc>
        <w:tc>
          <w:tcPr>
            <w:tcW w:type="dxa" w:w="2880"/>
          </w:tcPr>
          <w:p>
            <w:r/>
            <w:r>
              <w:rPr>
                <w:rFonts w:ascii="宋体" w:hAnsi="宋体" w:eastAsia="宋体"/>
                <w:b w:val="0"/>
                <w:sz w:val="20"/>
              </w:rPr>
              <w:t>Hₙ+当前脉冲，逐脉冲更新</w:t>
            </w:r>
          </w:p>
        </w:tc>
        <w:tc>
          <w:tcPr>
            <w:tcW w:type="dxa" w:w="2880"/>
          </w:tcPr>
          <w:p>
            <w:r/>
            <w:r>
              <w:rPr>
                <w:rFonts w:ascii="宋体" w:hAnsi="宋体" w:eastAsia="宋体"/>
                <w:b w:val="0"/>
                <w:sz w:val="20"/>
              </w:rPr>
              <w:t>对应现有Tani类思路</w:t>
            </w:r>
          </w:p>
        </w:tc>
      </w:tr>
      <w:tr>
        <w:tc>
          <w:tcPr>
            <w:tcW w:type="dxa" w:w="2880"/>
          </w:tcPr>
          <w:p>
            <w:r/>
            <w:r>
              <w:rPr>
                <w:rFonts w:ascii="宋体" w:hAnsi="宋体" w:eastAsia="宋体"/>
                <w:b w:val="0"/>
                <w:sz w:val="20"/>
              </w:rPr>
              <w:t>M2 双状态单模型</w:t>
            </w:r>
          </w:p>
        </w:tc>
        <w:tc>
          <w:tcPr>
            <w:tcW w:type="dxa" w:w="2880"/>
          </w:tcPr>
          <w:p>
            <w:r/>
            <w:r>
              <w:rPr>
                <w:rFonts w:ascii="宋体" w:hAnsi="宋体" w:eastAsia="宋体"/>
                <w:b w:val="0"/>
                <w:sz w:val="20"/>
              </w:rPr>
              <w:t>Hₙ+Zₙ，仅一个材料去除子模型</w:t>
            </w:r>
          </w:p>
        </w:tc>
        <w:tc>
          <w:tcPr>
            <w:tcW w:type="dxa" w:w="2880"/>
          </w:tcPr>
          <w:p>
            <w:r/>
            <w:r>
              <w:rPr>
                <w:rFonts w:ascii="宋体" w:hAnsi="宋体" w:eastAsia="宋体"/>
                <w:b w:val="0"/>
                <w:sz w:val="20"/>
              </w:rPr>
              <w:t>验证独立历史材料状态的必要性</w:t>
            </w:r>
          </w:p>
        </w:tc>
      </w:tr>
      <w:tr>
        <w:tc>
          <w:tcPr>
            <w:tcW w:type="dxa" w:w="2880"/>
          </w:tcPr>
          <w:p>
            <w:r/>
            <w:r>
              <w:rPr>
                <w:rFonts w:ascii="宋体" w:hAnsi="宋体" w:eastAsia="宋体"/>
                <w:b w:val="0"/>
                <w:sz w:val="20"/>
              </w:rPr>
              <w:t>M3 双状态机制门控</w:t>
            </w:r>
          </w:p>
        </w:tc>
        <w:tc>
          <w:tcPr>
            <w:tcW w:type="dxa" w:w="2880"/>
          </w:tcPr>
          <w:p>
            <w:r/>
            <w:r>
              <w:rPr>
                <w:rFonts w:ascii="宋体" w:hAnsi="宋体" w:eastAsia="宋体"/>
                <w:b w:val="0"/>
                <w:sz w:val="20"/>
              </w:rPr>
              <w:t>M2+多材料去除状态子模型+门控</w:t>
            </w:r>
          </w:p>
        </w:tc>
        <w:tc>
          <w:tcPr>
            <w:tcW w:type="dxa" w:w="2880"/>
          </w:tcPr>
          <w:p>
            <w:r/>
            <w:r>
              <w:rPr>
                <w:rFonts w:ascii="宋体" w:hAnsi="宋体" w:eastAsia="宋体"/>
                <w:b w:val="0"/>
                <w:sz w:val="20"/>
              </w:rPr>
              <w:t>验证状态切换结构的必要性</w:t>
            </w:r>
          </w:p>
        </w:tc>
      </w:tr>
      <w:tr>
        <w:tc>
          <w:tcPr>
            <w:tcW w:type="dxa" w:w="2880"/>
          </w:tcPr>
          <w:p>
            <w:r/>
            <w:r>
              <w:rPr>
                <w:rFonts w:ascii="宋体" w:hAnsi="宋体" w:eastAsia="宋体"/>
                <w:b w:val="0"/>
                <w:sz w:val="20"/>
              </w:rPr>
              <w:t>M4 多尺度联合约束</w:t>
            </w:r>
          </w:p>
        </w:tc>
        <w:tc>
          <w:tcPr>
            <w:tcW w:type="dxa" w:w="2880"/>
          </w:tcPr>
          <w:p>
            <w:r/>
            <w:r>
              <w:rPr>
                <w:rFonts w:ascii="宋体" w:hAnsi="宋体" w:eastAsia="宋体"/>
                <w:b w:val="0"/>
                <w:sz w:val="20"/>
              </w:rPr>
              <w:t>M3+单线宽/深+槽深/粗糙度联合训练</w:t>
            </w:r>
          </w:p>
        </w:tc>
        <w:tc>
          <w:tcPr>
            <w:tcW w:type="dxa" w:w="2880"/>
          </w:tcPr>
          <w:p>
            <w:r/>
            <w:r>
              <w:rPr>
                <w:rFonts w:ascii="宋体" w:hAnsi="宋体" w:eastAsia="宋体"/>
                <w:b w:val="0"/>
                <w:sz w:val="20"/>
              </w:rPr>
              <w:t>验证微观—宏观多尺度耦合的价值</w:t>
            </w:r>
          </w:p>
        </w:tc>
      </w:tr>
    </w:tbl>
    <w:p/>
    <w:p>
      <w:pPr>
        <w:spacing w:before="360" w:after="160"/>
      </w:pPr>
      <w:r>
        <w:rPr>
          <w:rFonts w:ascii="黑体" w:hAnsi="黑体" w:eastAsia="黑体"/>
          <w:b/>
          <w:sz w:val="32"/>
        </w:rPr>
        <w:t>三、修改前后对照速查表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黑体" w:hAnsi="黑体" w:eastAsia="黑体"/>
                <w:b/>
                <w:sz w:val="20"/>
              </w:rPr>
              <w:t>位置</w:t>
            </w:r>
          </w:p>
        </w:tc>
        <w:tc>
          <w:tcPr>
            <w:tcW w:type="dxa" w:w="2880"/>
          </w:tcPr>
          <w:p>
            <w:r/>
            <w:r>
              <w:rPr>
                <w:rFonts w:ascii="黑体" w:hAnsi="黑体" w:eastAsia="黑体"/>
                <w:b/>
                <w:sz w:val="20"/>
              </w:rPr>
              <w:t>修改前</w:t>
            </w:r>
          </w:p>
        </w:tc>
        <w:tc>
          <w:tcPr>
            <w:tcW w:type="dxa" w:w="2880"/>
          </w:tcPr>
          <w:p>
            <w:r/>
            <w:r>
              <w:rPr>
                <w:rFonts w:ascii="黑体" w:hAnsi="黑体" w:eastAsia="黑体"/>
                <w:b/>
                <w:sz w:val="20"/>
              </w:rPr>
              <w:t>修改后</w:t>
            </w:r>
          </w:p>
        </w:tc>
      </w:tr>
      <w:tr>
        <w:tc>
          <w:tcPr>
            <w:tcW w:type="dxa" w:w="2880"/>
          </w:tcPr>
          <w:p>
            <w:r/>
            <w:r>
              <w:rPr>
                <w:rFonts w:ascii="宋体" w:hAnsi="宋体" w:eastAsia="宋体"/>
                <w:b w:val="0"/>
                <w:sz w:val="19"/>
              </w:rPr>
              <w:t>封面发明名称</w:t>
            </w:r>
          </w:p>
        </w:tc>
        <w:tc>
          <w:tcPr>
            <w:tcW w:type="dxa" w:w="2880"/>
          </w:tcPr>
          <w:p>
            <w:r/>
            <w:r>
              <w:rPr>
                <w:rFonts w:ascii="宋体" w:hAnsi="宋体" w:eastAsia="宋体"/>
                <w:b w:val="0"/>
                <w:sz w:val="19"/>
              </w:rPr>
              <w:t>采用照相拼图的工件定位方法和装置</w:t>
            </w:r>
          </w:p>
        </w:tc>
        <w:tc>
          <w:tcPr>
            <w:tcW w:type="dxa" w:w="2880"/>
          </w:tcPr>
          <w:p>
            <w:r/>
            <w:r>
              <w:rPr>
                <w:rFonts w:ascii="宋体" w:hAnsi="宋体" w:eastAsia="宋体"/>
                <w:b w:val="0"/>
                <w:sz w:val="19"/>
              </w:rPr>
              <w:t>一种基于双状态机制门控及多尺度观测约束的超快激光多脉冲烧蚀形貌预测方法</w:t>
            </w:r>
          </w:p>
        </w:tc>
      </w:tr>
      <w:tr>
        <w:tc>
          <w:tcPr>
            <w:tcW w:type="dxa" w:w="2880"/>
          </w:tcPr>
          <w:p>
            <w:r/>
            <w:r>
              <w:rPr>
                <w:rFonts w:ascii="宋体" w:hAnsi="宋体" w:eastAsia="宋体"/>
                <w:b w:val="0"/>
                <w:sz w:val="19"/>
              </w:rPr>
              <w:t>第1部分开头</w:t>
            </w:r>
          </w:p>
        </w:tc>
        <w:tc>
          <w:tcPr>
            <w:tcW w:type="dxa" w:w="2880"/>
          </w:tcPr>
          <w:p>
            <w:r/>
            <w:r>
              <w:rPr>
                <w:rFonts w:ascii="宋体" w:hAnsi="宋体" w:eastAsia="宋体"/>
                <w:b w:val="0"/>
                <w:sz w:val="19"/>
              </w:rPr>
              <w:t>总体问题：如何把……</w:t>
            </w:r>
          </w:p>
        </w:tc>
        <w:tc>
          <w:tcPr>
            <w:tcW w:type="dxa" w:w="2880"/>
          </w:tcPr>
          <w:p>
            <w:r/>
            <w:r>
              <w:rPr>
                <w:rFonts w:ascii="宋体" w:hAnsi="宋体" w:eastAsia="宋体"/>
                <w:b w:val="0"/>
                <w:sz w:val="19"/>
              </w:rPr>
              <w:t>本发明面向……要解决的技术问题是……具体地说，要解决以下的问题：</w:t>
            </w:r>
          </w:p>
        </w:tc>
      </w:tr>
      <w:tr>
        <w:tc>
          <w:tcPr>
            <w:tcW w:type="dxa" w:w="2880"/>
          </w:tcPr>
          <w:p>
            <w:r/>
            <w:r>
              <w:rPr>
                <w:rFonts w:ascii="宋体" w:hAnsi="宋体" w:eastAsia="宋体"/>
                <w:b w:val="0"/>
                <w:sz w:val="19"/>
              </w:rPr>
              <w:t>第1部分五问</w:t>
            </w:r>
          </w:p>
        </w:tc>
        <w:tc>
          <w:tcPr>
            <w:tcW w:type="dxa" w:w="2880"/>
          </w:tcPr>
          <w:p>
            <w:r/>
            <w:r>
              <w:rPr>
                <w:rFonts w:ascii="宋体" w:hAnsi="宋体" w:eastAsia="宋体"/>
                <w:b w:val="0"/>
                <w:sz w:val="19"/>
              </w:rPr>
              <w:t>无编号段落</w:t>
            </w:r>
          </w:p>
        </w:tc>
        <w:tc>
          <w:tcPr>
            <w:tcW w:type="dxa" w:w="2880"/>
          </w:tcPr>
          <w:p>
            <w:r/>
            <w:r>
              <w:rPr>
                <w:rFonts w:ascii="宋体" w:hAnsi="宋体" w:eastAsia="宋体"/>
                <w:b w:val="0"/>
                <w:sz w:val="19"/>
              </w:rPr>
              <w:t>（1）–（5）编号</w:t>
            </w:r>
          </w:p>
        </w:tc>
      </w:tr>
      <w:tr>
        <w:tc>
          <w:tcPr>
            <w:tcW w:type="dxa" w:w="2880"/>
          </w:tcPr>
          <w:p>
            <w:r/>
            <w:r>
              <w:rPr>
                <w:rFonts w:ascii="宋体" w:hAnsi="宋体" w:eastAsia="宋体"/>
                <w:b w:val="0"/>
                <w:sz w:val="19"/>
              </w:rPr>
              <w:t>第2部分</w:t>
            </w:r>
          </w:p>
        </w:tc>
        <w:tc>
          <w:tcPr>
            <w:tcW w:type="dxa" w:w="2880"/>
          </w:tcPr>
          <w:p>
            <w:r/>
            <w:r>
              <w:rPr>
                <w:rFonts w:ascii="宋体" w:hAnsi="宋体" w:eastAsia="宋体"/>
                <w:b w:val="0"/>
                <w:sz w:val="19"/>
              </w:rPr>
              <w:t>5个空段落</w:t>
            </w:r>
          </w:p>
        </w:tc>
        <w:tc>
          <w:tcPr>
            <w:tcW w:type="dxa" w:w="2880"/>
          </w:tcPr>
          <w:p>
            <w:r/>
            <w:r>
              <w:rPr>
                <w:rFonts w:ascii="宋体" w:hAnsi="宋体" w:eastAsia="宋体"/>
                <w:b w:val="0"/>
                <w:sz w:val="19"/>
              </w:rPr>
              <w:t>公知物理基础+最接近现有技术+查新与AI撰写考虑，共3段</w:t>
            </w:r>
          </w:p>
        </w:tc>
      </w:tr>
      <w:tr>
        <w:tc>
          <w:tcPr>
            <w:tcW w:type="dxa" w:w="2880"/>
          </w:tcPr>
          <w:p>
            <w:r/>
            <w:r>
              <w:rPr>
                <w:rFonts w:ascii="宋体" w:hAnsi="宋体" w:eastAsia="宋体"/>
                <w:b w:val="0"/>
                <w:sz w:val="19"/>
              </w:rPr>
              <w:t>第3部分缺点</w:t>
            </w:r>
          </w:p>
        </w:tc>
        <w:tc>
          <w:tcPr>
            <w:tcW w:type="dxa" w:w="2880"/>
          </w:tcPr>
          <w:p>
            <w:r/>
            <w:r>
              <w:rPr>
                <w:rFonts w:ascii="宋体" w:hAnsi="宋体" w:eastAsia="宋体"/>
                <w:b w:val="0"/>
                <w:sz w:val="19"/>
              </w:rPr>
              <w:t>直接说缺点</w:t>
            </w:r>
          </w:p>
        </w:tc>
        <w:tc>
          <w:tcPr>
            <w:tcW w:type="dxa" w:w="2880"/>
          </w:tcPr>
          <w:p>
            <w:r/>
            <w:r>
              <w:rPr>
                <w:rFonts w:ascii="宋体" w:hAnsi="宋体" w:eastAsia="宋体"/>
                <w:b w:val="0"/>
                <w:sz w:val="19"/>
              </w:rPr>
              <w:t>补充「现有技术采用XX做法」铺垫</w:t>
            </w:r>
          </w:p>
        </w:tc>
      </w:tr>
      <w:tr>
        <w:tc>
          <w:tcPr>
            <w:tcW w:type="dxa" w:w="2880"/>
          </w:tcPr>
          <w:p>
            <w:r/>
            <w:r>
              <w:rPr>
                <w:rFonts w:ascii="宋体" w:hAnsi="宋体" w:eastAsia="宋体"/>
                <w:b w:val="0"/>
                <w:sz w:val="19"/>
              </w:rPr>
              <w:t>C/Θ公式后</w:t>
            </w:r>
          </w:p>
        </w:tc>
        <w:tc>
          <w:tcPr>
            <w:tcW w:type="dxa" w:w="2880"/>
          </w:tcPr>
          <w:p>
            <w:r/>
            <w:r>
              <w:rPr>
                <w:rFonts w:ascii="宋体" w:hAnsi="宋体" w:eastAsia="宋体"/>
                <w:b w:val="0"/>
                <w:sz w:val="19"/>
              </w:rPr>
              <w:t>无变量说明</w:t>
            </w:r>
          </w:p>
        </w:tc>
        <w:tc>
          <w:tcPr>
            <w:tcW w:type="dxa" w:w="2880"/>
          </w:tcPr>
          <w:p>
            <w:r/>
            <w:r>
              <w:rPr>
                <w:rFonts w:ascii="宋体" w:hAnsi="宋体" w:eastAsia="宋体"/>
                <w:b w:val="0"/>
                <w:sz w:val="19"/>
              </w:rPr>
              <w:t>补充T_C、T_T、Φ_C、Φ_T说明</w:t>
            </w:r>
          </w:p>
        </w:tc>
      </w:tr>
      <w:tr>
        <w:tc>
          <w:tcPr>
            <w:tcW w:type="dxa" w:w="2880"/>
          </w:tcPr>
          <w:p>
            <w:r/>
            <w:r>
              <w:rPr>
                <w:rFonts w:ascii="宋体" w:hAnsi="宋体" w:eastAsia="宋体"/>
                <w:b w:val="0"/>
                <w:sz w:val="19"/>
              </w:rPr>
              <w:t>图1–图6</w:t>
            </w:r>
          </w:p>
        </w:tc>
        <w:tc>
          <w:tcPr>
            <w:tcW w:type="dxa" w:w="2880"/>
          </w:tcPr>
          <w:p>
            <w:r/>
            <w:r>
              <w:rPr>
                <w:rFonts w:ascii="宋体" w:hAnsi="宋体" w:eastAsia="宋体"/>
                <w:b w:val="0"/>
                <w:sz w:val="19"/>
              </w:rPr>
              <w:t>仅图题</w:t>
            </w:r>
          </w:p>
        </w:tc>
        <w:tc>
          <w:tcPr>
            <w:tcW w:type="dxa" w:w="2880"/>
          </w:tcPr>
          <w:p>
            <w:r/>
            <w:r>
              <w:rPr>
                <w:rFonts w:ascii="宋体" w:hAnsi="宋体" w:eastAsia="宋体"/>
                <w:b w:val="0"/>
                <w:sz w:val="19"/>
              </w:rPr>
              <w:t>每图补充1–2句详细文字描述</w:t>
            </w:r>
          </w:p>
        </w:tc>
      </w:tr>
      <w:tr>
        <w:tc>
          <w:tcPr>
            <w:tcW w:type="dxa" w:w="2880"/>
          </w:tcPr>
          <w:p>
            <w:r/>
            <w:r>
              <w:rPr>
                <w:rFonts w:ascii="宋体" w:hAnsi="宋体" w:eastAsia="宋体"/>
                <w:b w:val="0"/>
                <w:sz w:val="19"/>
              </w:rPr>
              <w:t>第4部分（6）末尾</w:t>
            </w:r>
          </w:p>
        </w:tc>
        <w:tc>
          <w:tcPr>
            <w:tcW w:type="dxa" w:w="2880"/>
          </w:tcPr>
          <w:p>
            <w:r/>
            <w:r>
              <w:rPr>
                <w:rFonts w:ascii="宋体" w:hAnsi="宋体" w:eastAsia="宋体"/>
                <w:b w:val="0"/>
                <w:sz w:val="19"/>
              </w:rPr>
              <w:t>无消融实验</w:t>
            </w:r>
          </w:p>
        </w:tc>
        <w:tc>
          <w:tcPr>
            <w:tcW w:type="dxa" w:w="2880"/>
          </w:tcPr>
          <w:p>
            <w:r/>
            <w:r>
              <w:rPr>
                <w:rFonts w:ascii="宋体" w:hAnsi="宋体" w:eastAsia="宋体"/>
                <w:b w:val="0"/>
                <w:sz w:val="19"/>
              </w:rPr>
              <w:t>补充M0–M4消融设计+数据切分+评价指标</w:t>
            </w:r>
          </w:p>
        </w:tc>
      </w:tr>
      <w:tr>
        <w:tc>
          <w:tcPr>
            <w:tcW w:type="dxa" w:w="2880"/>
          </w:tcPr>
          <w:p>
            <w:r/>
            <w:r>
              <w:rPr>
                <w:rFonts w:ascii="宋体" w:hAnsi="宋体" w:eastAsia="宋体"/>
                <w:b w:val="0"/>
                <w:sz w:val="19"/>
              </w:rPr>
              <w:t>第5部分（8）</w:t>
            </w:r>
          </w:p>
        </w:tc>
        <w:tc>
          <w:tcPr>
            <w:tcW w:type="dxa" w:w="2880"/>
          </w:tcPr>
          <w:p>
            <w:r/>
            <w:r>
              <w:rPr>
                <w:rFonts w:ascii="宋体" w:hAnsi="宋体" w:eastAsia="宋体"/>
                <w:b w:val="0"/>
                <w:sz w:val="19"/>
              </w:rPr>
              <w:t>跨尺度验证</w:t>
            </w:r>
          </w:p>
        </w:tc>
        <w:tc>
          <w:tcPr>
            <w:tcW w:type="dxa" w:w="2880"/>
          </w:tcPr>
          <w:p>
            <w:r/>
            <w:r>
              <w:rPr>
                <w:rFonts w:ascii="宋体" w:hAnsi="宋体" w:eastAsia="宋体"/>
                <w:b w:val="0"/>
                <w:sz w:val="19"/>
              </w:rPr>
              <w:t>增加「M0–M4消融对比」表述</w:t>
            </w:r>
          </w:p>
        </w:tc>
      </w:tr>
    </w:tbl>
    <w:p/>
    <w:p>
      <w:pPr>
        <w:spacing w:before="360" w:after="160"/>
      </w:pPr>
      <w:r>
        <w:rPr>
          <w:rFonts w:ascii="黑体" w:hAnsi="黑体" w:eastAsia="黑体"/>
          <w:b/>
          <w:sz w:val="32"/>
        </w:rPr>
        <w:t>四、落地执行建议</w:t>
      </w:r>
    </w:p>
    <w:p>
      <w:pPr>
        <w:pStyle w:val="ListBullet"/>
        <w:spacing w:line="360" w:lineRule="auto"/>
      </w:pPr>
      <w:r>
        <w:rPr>
          <w:rFonts w:ascii="宋体" w:hAnsi="宋体" w:eastAsia="宋体"/>
          <w:b w:val="0"/>
          <w:sz w:val="22"/>
        </w:rPr>
        <w:t>执行顺序：先改封面发明名称（1分钟）→ 补全第2部分（核心）→ 补充公式变量说明和附图描述 → 补充消融实验 → 微调第5/6部分。</w:t>
      </w:r>
    </w:p>
    <w:p>
      <w:pPr>
        <w:pStyle w:val="ListBullet"/>
        <w:spacing w:line="360" w:lineRule="auto"/>
      </w:pPr>
      <w:r>
        <w:rPr>
          <w:rFonts w:ascii="宋体" w:hAnsi="宋体" w:eastAsia="宋体"/>
          <w:b w:val="0"/>
          <w:sz w:val="22"/>
        </w:rPr>
        <w:t>所有补充文字均使用文档现有Normal样式，手动粘贴时注意「只粘贴文字」（保留源格式），避免带入外部字体。</w:t>
      </w:r>
    </w:p>
    <w:p>
      <w:pPr>
        <w:pStyle w:val="ListBullet"/>
        <w:spacing w:line="360" w:lineRule="auto"/>
      </w:pPr>
      <w:r>
        <w:rPr>
          <w:rFonts w:ascii="宋体" w:hAnsi="宋体" w:eastAsia="宋体"/>
          <w:b w:val="0"/>
          <w:sz w:val="22"/>
        </w:rPr>
        <w:t>公式（如Cₙ₊₁、Θₙ₊₁）若需在变量说明中引用，直接用普通文字下标即可，不必插入公式对象，以避免格式变动。</w:t>
      </w:r>
    </w:p>
    <w:p>
      <w:pPr>
        <w:pStyle w:val="ListBullet"/>
        <w:spacing w:line="360" w:lineRule="auto"/>
      </w:pPr>
      <w:r>
        <w:rPr>
          <w:rFonts w:ascii="宋体" w:hAnsi="宋体" w:eastAsia="宋体"/>
          <w:b w:val="0"/>
          <w:sz w:val="22"/>
        </w:rPr>
        <w:t>补充第2部分后，检查现有技术对比表（Table 1）的6行内容与文字叙述是否一致——文字中已涵盖全部6项，表格保留作为结构化速查，二者不冲突。</w:t>
      </w:r>
    </w:p>
    <w:p>
      <w:pPr>
        <w:pStyle w:val="ListBullet"/>
        <w:spacing w:line="360" w:lineRule="auto"/>
      </w:pPr>
      <w:r>
        <w:rPr>
          <w:rFonts w:ascii="宋体" w:hAnsi="宋体" w:eastAsia="宋体"/>
          <w:b w:val="0"/>
          <w:sz w:val="22"/>
        </w:rPr>
        <w:t>全部修改完成后，建议通读一遍第2→3→4部分的逻辑衔接：第2部分引出的现有技术不足，应与第3部分的五个缺点一一对应；第3部分的目的与效果，应在第4部分找到对应的技术实现。</w:t>
      </w:r>
    </w:p>
    <w:p>
      <w:pPr>
        <w:pStyle w:val="ListBullet"/>
        <w:spacing w:line="360" w:lineRule="auto"/>
      </w:pPr>
      <w:r>
        <w:rPr>
          <w:rFonts w:ascii="宋体" w:hAnsi="宋体" w:eastAsia="宋体"/>
          <w:b w:val="0"/>
          <w:sz w:val="22"/>
        </w:rPr>
        <w:t>本方案未改动任何格式要素（字体、字号、样式、表格结构、图片位置、页码），仅涉及文字内容的替换、补充和微调。</w:t>
      </w:r>
    </w:p>
    <w:p/>
    <w:p>
      <w:pPr>
        <w:jc w:val="center"/>
      </w:pPr>
      <w:r>
        <w:rPr>
          <w:rFonts w:ascii="楷体" w:hAnsi="楷体" w:eastAsia="楷体"/>
          <w:b w:val="0"/>
          <w:sz w:val="22"/>
        </w:rPr>
        <w:t>—— 方案完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