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65051" w14:textId="77777777" w:rsidR="003E4A06" w:rsidRPr="00077310" w:rsidRDefault="003E4A06" w:rsidP="003E4A06">
      <w:pPr>
        <w:spacing w:after="0" w:line="360" w:lineRule="auto"/>
        <w:jc w:val="center"/>
        <w:rPr>
          <w:rFonts w:cs="Times New Roman"/>
          <w:szCs w:val="28"/>
          <w:lang w:val="ru-RU"/>
        </w:rPr>
      </w:pPr>
      <w:r w:rsidRPr="00077310">
        <w:rPr>
          <w:rFonts w:cs="Times New Roman"/>
          <w:szCs w:val="28"/>
          <w:lang w:val="ru-RU"/>
        </w:rPr>
        <w:t>МІНІСТЕРСТВО ОСВІТИ І НАУКИ УКРАЇНИ</w:t>
      </w:r>
    </w:p>
    <w:p w14:paraId="5043F00B" w14:textId="77777777" w:rsidR="003E4A06" w:rsidRPr="00077310" w:rsidRDefault="003E4A06" w:rsidP="003E4A06">
      <w:pPr>
        <w:spacing w:after="0" w:line="360" w:lineRule="auto"/>
        <w:jc w:val="center"/>
        <w:rPr>
          <w:rFonts w:cs="Times New Roman"/>
          <w:szCs w:val="28"/>
          <w:lang w:val="ru-RU"/>
        </w:rPr>
      </w:pPr>
      <w:r w:rsidRPr="00077310">
        <w:rPr>
          <w:rFonts w:cs="Times New Roman"/>
          <w:szCs w:val="28"/>
          <w:lang w:val="ru-RU"/>
        </w:rPr>
        <w:t>ДЕРЖАВНИЙ ВИЩИЙ НАВЧАЛЬНИЙ ЗАКЛАД</w:t>
      </w:r>
    </w:p>
    <w:p w14:paraId="595CADD0" w14:textId="77777777" w:rsidR="003E4A06" w:rsidRPr="00077310" w:rsidRDefault="003E4A06" w:rsidP="003E4A06">
      <w:pPr>
        <w:spacing w:after="0" w:line="360" w:lineRule="auto"/>
        <w:jc w:val="center"/>
        <w:rPr>
          <w:rFonts w:cs="Times New Roman"/>
          <w:szCs w:val="28"/>
          <w:lang w:val="ru-RU"/>
        </w:rPr>
      </w:pPr>
      <w:r w:rsidRPr="00077310">
        <w:rPr>
          <w:rFonts w:cs="Times New Roman"/>
          <w:szCs w:val="28"/>
          <w:lang w:val="ru-RU"/>
        </w:rPr>
        <w:t>«УЖГОРОДСЬКИЙ НАЦІОНАЛЬНИЙ УНІВЕРСИТЕТ»</w:t>
      </w:r>
    </w:p>
    <w:p w14:paraId="5384D9E8" w14:textId="77777777" w:rsidR="003E4A06" w:rsidRPr="00077310" w:rsidRDefault="003E4A06" w:rsidP="003E4A06">
      <w:pPr>
        <w:spacing w:after="0" w:line="360" w:lineRule="auto"/>
        <w:jc w:val="center"/>
        <w:rPr>
          <w:rFonts w:cs="Times New Roman"/>
          <w:szCs w:val="28"/>
          <w:lang w:val="ru-RU"/>
        </w:rPr>
      </w:pPr>
      <w:r w:rsidRPr="00077310">
        <w:rPr>
          <w:rFonts w:cs="Times New Roman"/>
          <w:szCs w:val="28"/>
          <w:lang w:val="ru-RU"/>
        </w:rPr>
        <w:t>ФАКУЛЬТЕТ ІНФОРМАЦІЙНИХ ТЕХНОЛОГІЙ</w:t>
      </w:r>
    </w:p>
    <w:p w14:paraId="2AA86EDA" w14:textId="77777777" w:rsidR="003E4A06" w:rsidRPr="00077310" w:rsidRDefault="003E4A06" w:rsidP="003E4A06">
      <w:pPr>
        <w:spacing w:after="0" w:line="360" w:lineRule="auto"/>
        <w:jc w:val="center"/>
        <w:rPr>
          <w:rFonts w:cs="Times New Roman"/>
          <w:szCs w:val="28"/>
          <w:lang w:val="ru-RU"/>
        </w:rPr>
      </w:pPr>
      <w:r w:rsidRPr="00077310">
        <w:rPr>
          <w:rFonts w:cs="Times New Roman"/>
          <w:szCs w:val="28"/>
          <w:lang w:val="ru-RU"/>
        </w:rPr>
        <w:t>КАФЕДРА ПРОГРАМНОГО ЗАБЕЗПЕЧЕННЯ СИСТЕМ</w:t>
      </w:r>
    </w:p>
    <w:p w14:paraId="1AB1654F" w14:textId="77777777" w:rsidR="003E4A06" w:rsidRPr="00077310" w:rsidRDefault="003E4A06" w:rsidP="003E4A06">
      <w:pPr>
        <w:spacing w:line="360" w:lineRule="auto"/>
        <w:jc w:val="both"/>
        <w:rPr>
          <w:rFonts w:cs="Times New Roman"/>
          <w:szCs w:val="28"/>
          <w:lang w:val="ru-RU"/>
        </w:rPr>
      </w:pPr>
    </w:p>
    <w:p w14:paraId="22883F73" w14:textId="77777777" w:rsidR="003E4A06" w:rsidRPr="00077310" w:rsidRDefault="003E4A06" w:rsidP="003E4A06">
      <w:pPr>
        <w:spacing w:line="360" w:lineRule="auto"/>
        <w:jc w:val="both"/>
        <w:rPr>
          <w:rFonts w:cs="Times New Roman"/>
          <w:szCs w:val="28"/>
          <w:lang w:val="ru-RU"/>
        </w:rPr>
      </w:pPr>
    </w:p>
    <w:p w14:paraId="5FF6D7A5" w14:textId="77777777" w:rsidR="003E4A06" w:rsidRPr="00077310" w:rsidRDefault="003E4A06" w:rsidP="003E4A06">
      <w:pPr>
        <w:spacing w:line="360" w:lineRule="auto"/>
        <w:jc w:val="both"/>
        <w:rPr>
          <w:rFonts w:cs="Times New Roman"/>
          <w:szCs w:val="28"/>
          <w:lang w:val="ru-RU"/>
        </w:rPr>
      </w:pPr>
    </w:p>
    <w:p w14:paraId="1BBBCFFA" w14:textId="77777777" w:rsidR="003E4A06" w:rsidRPr="00077310" w:rsidRDefault="003E4A06" w:rsidP="003E4A06">
      <w:pPr>
        <w:spacing w:line="360" w:lineRule="auto"/>
        <w:jc w:val="center"/>
        <w:rPr>
          <w:rFonts w:cs="Times New Roman"/>
          <w:szCs w:val="28"/>
          <w:lang w:val="ru-RU"/>
        </w:rPr>
      </w:pPr>
      <w:proofErr w:type="spellStart"/>
      <w:r w:rsidRPr="00077310">
        <w:rPr>
          <w:rFonts w:cs="Times New Roman"/>
          <w:b/>
          <w:szCs w:val="28"/>
          <w:lang w:val="ru-RU"/>
        </w:rPr>
        <w:t>Лабораторна</w:t>
      </w:r>
      <w:proofErr w:type="spellEnd"/>
      <w:r w:rsidRPr="00077310">
        <w:rPr>
          <w:rFonts w:cs="Times New Roman"/>
          <w:b/>
          <w:szCs w:val="28"/>
          <w:lang w:val="ru-RU"/>
        </w:rPr>
        <w:t xml:space="preserve"> робота №2</w:t>
      </w:r>
    </w:p>
    <w:p w14:paraId="0F26670A" w14:textId="77777777" w:rsidR="003E4A06" w:rsidRPr="00077310" w:rsidRDefault="003E4A06" w:rsidP="003E4A06">
      <w:pPr>
        <w:spacing w:line="360" w:lineRule="auto"/>
        <w:jc w:val="both"/>
        <w:rPr>
          <w:rFonts w:cs="Times New Roman"/>
          <w:szCs w:val="28"/>
          <w:lang w:val="ru-RU"/>
        </w:rPr>
      </w:pPr>
    </w:p>
    <w:p w14:paraId="4F4BAD78" w14:textId="77777777" w:rsidR="003E4A06" w:rsidRPr="00077310" w:rsidRDefault="003E4A06" w:rsidP="003E4A06">
      <w:pPr>
        <w:spacing w:line="360" w:lineRule="auto"/>
        <w:jc w:val="both"/>
        <w:rPr>
          <w:rFonts w:cs="Times New Roman"/>
          <w:szCs w:val="28"/>
          <w:lang w:val="ru-RU"/>
        </w:rPr>
      </w:pPr>
    </w:p>
    <w:p w14:paraId="254AAF55" w14:textId="77777777" w:rsidR="003E4A06" w:rsidRPr="00077310" w:rsidRDefault="003E4A06" w:rsidP="003E4A06">
      <w:pPr>
        <w:spacing w:line="360" w:lineRule="auto"/>
        <w:jc w:val="both"/>
        <w:rPr>
          <w:rFonts w:cs="Times New Roman"/>
          <w:szCs w:val="28"/>
          <w:lang w:val="ru-RU"/>
        </w:rPr>
      </w:pPr>
    </w:p>
    <w:p w14:paraId="3D352872" w14:textId="77777777" w:rsidR="003E4A06" w:rsidRPr="00077310" w:rsidRDefault="003E4A06" w:rsidP="003E4A06">
      <w:pPr>
        <w:spacing w:line="360" w:lineRule="auto"/>
        <w:jc w:val="both"/>
        <w:rPr>
          <w:rFonts w:cs="Times New Roman"/>
          <w:szCs w:val="28"/>
          <w:lang w:val="ru-RU"/>
        </w:rPr>
      </w:pPr>
    </w:p>
    <w:p w14:paraId="3B5D6BB7" w14:textId="77777777" w:rsidR="003E4A06" w:rsidRPr="00077310" w:rsidRDefault="003E4A06" w:rsidP="003E4A06">
      <w:pPr>
        <w:spacing w:line="360" w:lineRule="auto"/>
        <w:jc w:val="right"/>
        <w:rPr>
          <w:rFonts w:cs="Times New Roman"/>
          <w:szCs w:val="28"/>
          <w:lang w:val="ru-RU"/>
        </w:rPr>
      </w:pPr>
      <w:proofErr w:type="spellStart"/>
      <w:r w:rsidRPr="00077310">
        <w:rPr>
          <w:rFonts w:cs="Times New Roman"/>
          <w:szCs w:val="28"/>
          <w:lang w:val="ru-RU"/>
        </w:rPr>
        <w:t>Виконала</w:t>
      </w:r>
      <w:proofErr w:type="spellEnd"/>
      <w:r w:rsidRPr="00077310">
        <w:rPr>
          <w:rFonts w:cs="Times New Roman"/>
          <w:szCs w:val="28"/>
          <w:lang w:val="ru-RU"/>
        </w:rPr>
        <w:t>:</w:t>
      </w:r>
      <w:r w:rsidRPr="00077310">
        <w:rPr>
          <w:rFonts w:cs="Times New Roman"/>
          <w:szCs w:val="28"/>
          <w:lang w:val="ru-RU"/>
        </w:rPr>
        <w:br/>
        <w:t>студентка 4-го курсу</w:t>
      </w:r>
      <w:r w:rsidRPr="00077310">
        <w:rPr>
          <w:rFonts w:cs="Times New Roman"/>
          <w:szCs w:val="28"/>
          <w:lang w:val="ru-RU"/>
        </w:rPr>
        <w:br/>
      </w:r>
      <w:proofErr w:type="spellStart"/>
      <w:r w:rsidRPr="00077310">
        <w:rPr>
          <w:rFonts w:cs="Times New Roman"/>
          <w:szCs w:val="28"/>
          <w:lang w:val="ru-RU"/>
        </w:rPr>
        <w:t>денної</w:t>
      </w:r>
      <w:proofErr w:type="spellEnd"/>
      <w:r w:rsidRPr="00077310">
        <w:rPr>
          <w:rFonts w:cs="Times New Roman"/>
          <w:szCs w:val="28"/>
          <w:lang w:val="ru-RU"/>
        </w:rPr>
        <w:t xml:space="preserve"> </w:t>
      </w:r>
      <w:proofErr w:type="spellStart"/>
      <w:r w:rsidRPr="00077310">
        <w:rPr>
          <w:rFonts w:cs="Times New Roman"/>
          <w:szCs w:val="28"/>
          <w:lang w:val="ru-RU"/>
        </w:rPr>
        <w:t>форми</w:t>
      </w:r>
      <w:proofErr w:type="spellEnd"/>
      <w:r w:rsidRPr="00077310">
        <w:rPr>
          <w:rFonts w:cs="Times New Roman"/>
          <w:szCs w:val="28"/>
          <w:lang w:val="ru-RU"/>
        </w:rPr>
        <w:t xml:space="preserve"> </w:t>
      </w:r>
      <w:proofErr w:type="spellStart"/>
      <w:r w:rsidRPr="00077310">
        <w:rPr>
          <w:rFonts w:cs="Times New Roman"/>
          <w:szCs w:val="28"/>
          <w:lang w:val="ru-RU"/>
        </w:rPr>
        <w:t>навчання</w:t>
      </w:r>
      <w:proofErr w:type="spellEnd"/>
      <w:r w:rsidRPr="00077310">
        <w:rPr>
          <w:rFonts w:cs="Times New Roman"/>
          <w:szCs w:val="28"/>
          <w:lang w:val="ru-RU"/>
        </w:rPr>
        <w:br/>
      </w:r>
      <w:proofErr w:type="spellStart"/>
      <w:r w:rsidRPr="00077310">
        <w:rPr>
          <w:rFonts w:cs="Times New Roman"/>
          <w:szCs w:val="28"/>
          <w:lang w:val="ru-RU"/>
        </w:rPr>
        <w:t>групи</w:t>
      </w:r>
      <w:proofErr w:type="spellEnd"/>
      <w:r w:rsidRPr="00077310">
        <w:rPr>
          <w:rFonts w:cs="Times New Roman"/>
          <w:szCs w:val="28"/>
          <w:lang w:val="ru-RU"/>
        </w:rPr>
        <w:t xml:space="preserve"> ІПЗ-1</w:t>
      </w:r>
      <w:r w:rsidRPr="00077310">
        <w:rPr>
          <w:rFonts w:cs="Times New Roman"/>
          <w:szCs w:val="28"/>
          <w:lang w:val="ru-RU"/>
        </w:rPr>
        <w:br/>
        <w:t xml:space="preserve">Граб </w:t>
      </w:r>
      <w:proofErr w:type="spellStart"/>
      <w:r w:rsidRPr="00077310">
        <w:rPr>
          <w:rFonts w:cs="Times New Roman"/>
          <w:szCs w:val="28"/>
          <w:lang w:val="ru-RU"/>
        </w:rPr>
        <w:t>Емілія</w:t>
      </w:r>
      <w:proofErr w:type="spellEnd"/>
      <w:r w:rsidRPr="00077310">
        <w:rPr>
          <w:rFonts w:cs="Times New Roman"/>
          <w:szCs w:val="28"/>
          <w:lang w:val="ru-RU"/>
        </w:rPr>
        <w:t xml:space="preserve"> </w:t>
      </w:r>
      <w:proofErr w:type="spellStart"/>
      <w:r w:rsidRPr="00077310">
        <w:rPr>
          <w:rFonts w:cs="Times New Roman"/>
          <w:szCs w:val="28"/>
          <w:lang w:val="ru-RU"/>
        </w:rPr>
        <w:t>Володимирівна</w:t>
      </w:r>
      <w:proofErr w:type="spellEnd"/>
    </w:p>
    <w:p w14:paraId="09FA1E34" w14:textId="77777777" w:rsidR="003E4A06" w:rsidRPr="00077310" w:rsidRDefault="003E4A06" w:rsidP="003E4A06">
      <w:pPr>
        <w:spacing w:line="360" w:lineRule="auto"/>
        <w:jc w:val="both"/>
        <w:rPr>
          <w:rFonts w:cs="Times New Roman"/>
          <w:szCs w:val="28"/>
          <w:lang w:val="ru-RU"/>
        </w:rPr>
      </w:pPr>
    </w:p>
    <w:p w14:paraId="5B6578BF" w14:textId="77777777" w:rsidR="003E4A06" w:rsidRPr="00077310" w:rsidRDefault="003E4A06" w:rsidP="003E4A06">
      <w:pPr>
        <w:spacing w:line="360" w:lineRule="auto"/>
        <w:jc w:val="both"/>
        <w:rPr>
          <w:rFonts w:cs="Times New Roman"/>
          <w:szCs w:val="28"/>
          <w:lang w:val="ru-RU"/>
        </w:rPr>
      </w:pPr>
    </w:p>
    <w:p w14:paraId="5ED618A4" w14:textId="77777777" w:rsidR="003E4A06" w:rsidRPr="00077310" w:rsidRDefault="003E4A06" w:rsidP="003E4A06">
      <w:pPr>
        <w:spacing w:line="360" w:lineRule="auto"/>
        <w:jc w:val="both"/>
        <w:rPr>
          <w:rFonts w:cs="Times New Roman"/>
          <w:szCs w:val="28"/>
          <w:lang w:val="ru-RU"/>
        </w:rPr>
      </w:pPr>
    </w:p>
    <w:p w14:paraId="567C42F0" w14:textId="77777777" w:rsidR="003E4A06" w:rsidRPr="00077310" w:rsidRDefault="003E4A06" w:rsidP="003E4A06">
      <w:pPr>
        <w:spacing w:line="360" w:lineRule="auto"/>
        <w:jc w:val="both"/>
        <w:rPr>
          <w:rFonts w:cs="Times New Roman"/>
          <w:szCs w:val="28"/>
          <w:lang w:val="ru-RU"/>
        </w:rPr>
      </w:pPr>
    </w:p>
    <w:p w14:paraId="7820D896" w14:textId="77777777" w:rsidR="003E4A06" w:rsidRPr="00F365AD" w:rsidRDefault="003E4A06" w:rsidP="003E4A06">
      <w:pPr>
        <w:spacing w:line="360" w:lineRule="auto"/>
        <w:jc w:val="center"/>
        <w:rPr>
          <w:rFonts w:cs="Times New Roman"/>
          <w:b/>
          <w:bCs/>
          <w:szCs w:val="28"/>
          <w:lang w:val="ru-RU"/>
        </w:rPr>
      </w:pPr>
      <w:r w:rsidRPr="00077310">
        <w:rPr>
          <w:rFonts w:cs="Times New Roman"/>
          <w:b/>
          <w:bCs/>
          <w:szCs w:val="28"/>
          <w:lang w:val="ru-RU"/>
        </w:rPr>
        <w:t>Ужгород - 2026</w:t>
      </w:r>
    </w:p>
    <w:p w14:paraId="6DDF11F2" w14:textId="161A251D" w:rsidR="003E4A06" w:rsidRDefault="003E4A06">
      <w:pPr>
        <w:spacing w:after="160" w:line="259" w:lineRule="auto"/>
      </w:pPr>
      <w:r>
        <w:br w:type="page"/>
      </w:r>
    </w:p>
    <w:p>
      <w:pPr>
        <w:pStyle w:val="ReportHeading"/>
      </w:pPr>
      <w:r>
        <w:t>1. Титульний аркуш, мета роботи, номер варіанта</w:t>
      </w:r>
    </w:p>
    <w:p>
      <w:pPr>
        <w:pStyle w:val="ReportBody"/>
      </w:pPr>
      <w:r>
        <w:t>Тема: Модульне тестування бізнес-логіки засобами Vitest. Матчери, параметризовані тести, покриття коду.</w:t>
      </w:r>
    </w:p>
    <w:p>
      <w:pPr>
        <w:pStyle w:val="ReportBody"/>
      </w:pPr>
      <w:r>
        <w:t>Мета: Набути навичок розроблення модульних тестів для бізнес-логіки: добирати матчери відповідно до типу даних, проєктувати вхідні дані за класами еквівалентності та межовими значеннями, застосовувати параметризовані тести, вимірювати й інтерпретувати покриття коду.</w:t>
      </w:r>
    </w:p>
    <w:p>
      <w:pPr>
        <w:pStyle w:val="ReportBody"/>
      </w:pPr>
      <w:r>
        <w:t>Варіант 12</w:t>
      </w:r>
    </w:p>
    <w:p>
      <w:pPr>
        <w:pStyle w:val="ReportBody"/>
      </w:pPr>
      <w:r>
        <w:t>Індивідуальне завдання: calcInstallment(total, months) — місячний платіж для 3, 6 та 12 місяців із надбавкою 2 % за кожні три місяці.</w:t>
      </w:r>
    </w:p>
    <w:p>
      <w:pPr>
        <w:pStyle w:val="ReportBody"/>
      </w:pPr>
      <w:r>
        <w:t>Титульний аркуш і дані студентки збережено. Відсутні чотири функції показового прикладу додано за оригінальною методичкою з форматуванням Prettier. Наявну реалізацію варіанта 12 збережено.</w:t>
      </w:r>
    </w:p>
    <w:p>
      <w:pPr>
        <w:pStyle w:val="ReportBody"/>
      </w:pPr>
      <w:r>
        <w:t>Фінальні перевірки виконано 19.10.2026 (Europe/Uzhgorod): 145 тестів у чотирьох файлах. Статус рецензування та Pull Request зазначено в розділах 7 і 8.</w:t>
      </w:r>
    </w:p>
    <w:p>
      <w:pPr>
        <w:pStyle w:val="ReportHeading"/>
      </w:pPr>
      <w:r>
        <w:t>2. Таблиця аналізу вхідних умов для всіх функцій модуля</w:t>
      </w:r>
    </w:p>
    <w:p>
      <w:pPr>
        <w:pStyle w:val="ReportBody"/>
      </w:pPr>
      <w:r>
        <w:t>Класи еквівалентності об’єднують входи з однаковою очікуваною поведінкою. Межові значення перевіряють зміну правила: сусідні значення до порога, сам поріг і значення після нього. Для дискретного набору строків розстрочки перевірено сусідів кожного допустимого строку.</w:t>
      </w:r>
    </w:p>
    <w:p>
      <w:pPr>
        <w:pStyle w:val="ReportCaption"/>
        <w:keepNext/>
      </w:pPr>
      <w:r>
        <w:t>Таблиця 1 — Аналіз вхідних умов модуля order.ts</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154"/>
        <w:gridCol w:w="3231"/>
        <w:gridCol w:w="3969"/>
      </w:tblGrid>
      <w:tr>
        <w:trPr>
          <w:cantSplit/>
          <w:tblHeader/>
        </w:trPr>
        <w:tc>
          <w:tcPr>
            <w:tcW w:type="dxa" w:w="2154"/>
            <w:vAlign w:val="center"/>
            <w:tcMar>
              <w:top w:w="70" w:type="dxa"/>
              <w:bottom w:w="70" w:type="dxa"/>
              <w:left w:w="70" w:type="dxa"/>
              <w:right w:w="70" w:type="dxa"/>
            </w:tcMar>
          </w:tcPr>
          <w:p>
            <w:pPr>
              <w:pStyle w:val="ReportCell"/>
              <w:keepNext/>
            </w:pPr>
            <w:r>
              <w:rPr>
                <w:b/>
              </w:rPr>
              <w:t>Функція</w:t>
            </w:r>
          </w:p>
        </w:tc>
        <w:tc>
          <w:tcPr>
            <w:tcW w:type="dxa" w:w="3231"/>
            <w:vAlign w:val="center"/>
            <w:tcMar>
              <w:top w:w="70" w:type="dxa"/>
              <w:bottom w:w="70" w:type="dxa"/>
              <w:left w:w="70" w:type="dxa"/>
              <w:right w:w="70" w:type="dxa"/>
            </w:tcMar>
          </w:tcPr>
          <w:p>
            <w:pPr>
              <w:pStyle w:val="ReportCell"/>
              <w:keepNext/>
            </w:pPr>
            <w:r>
              <w:rPr>
                <w:b/>
              </w:rPr>
              <w:t>Клас та представники входів</w:t>
            </w:r>
          </w:p>
        </w:tc>
        <w:tc>
          <w:tcPr>
            <w:tcW w:type="dxa" w:w="3969"/>
            <w:vAlign w:val="center"/>
            <w:tcMar>
              <w:top w:w="70" w:type="dxa"/>
              <w:bottom w:w="70" w:type="dxa"/>
              <w:left w:w="70" w:type="dxa"/>
              <w:right w:w="70" w:type="dxa"/>
            </w:tcMar>
          </w:tcPr>
          <w:p>
            <w:pPr>
              <w:pStyle w:val="ReportCell"/>
              <w:keepNext/>
            </w:pPr>
            <w:r>
              <w:rPr>
                <w:b/>
              </w:rPr>
              <w:t>Межі й очікувана поведінка</w:t>
            </w:r>
          </w:p>
        </w:tc>
      </w:tr>
      <w:tr>
        <w:trPr>
          <w:cantSplit/>
        </w:trPr>
        <w:tc>
          <w:tcPr>
            <w:tcW w:type="dxa" w:w="2154"/>
            <w:vAlign w:val="center"/>
            <w:tcMar>
              <w:top w:w="70" w:type="dxa"/>
              <w:bottom w:w="70" w:type="dxa"/>
              <w:left w:w="70" w:type="dxa"/>
              <w:right w:w="70" w:type="dxa"/>
            </w:tcMar>
          </w:tcPr>
          <w:p>
            <w:pPr>
              <w:pStyle w:val="ReportCell"/>
            </w:pPr>
            <w:r>
              <w:t>calcSubtotal</w:t>
            </w:r>
          </w:p>
        </w:tc>
        <w:tc>
          <w:tcPr>
            <w:tcW w:type="dxa" w:w="3231"/>
            <w:vAlign w:val="center"/>
            <w:tcMar>
              <w:top w:w="70" w:type="dxa"/>
              <w:bottom w:w="70" w:type="dxa"/>
              <w:left w:w="70" w:type="dxa"/>
              <w:right w:w="70" w:type="dxa"/>
            </w:tcMar>
          </w:tcPr>
          <w:p>
            <w:pPr>
              <w:pStyle w:val="ReportCell"/>
            </w:pPr>
            <w:r>
              <w:t>Непорожній масив, ціна ≥ 0, ціла кількість &gt; 0; кілька позицій.</w:t>
            </w:r>
          </w:p>
        </w:tc>
        <w:tc>
          <w:tcPr>
            <w:tcW w:type="dxa" w:w="3969"/>
            <w:vAlign w:val="center"/>
            <w:tcMar>
              <w:top w:w="70" w:type="dxa"/>
              <w:bottom w:w="70" w:type="dxa"/>
              <w:left w:w="70" w:type="dxa"/>
              <w:right w:w="70" w:type="dxa"/>
            </w:tcMar>
          </w:tcPr>
          <w:p>
            <w:pPr>
              <w:pStyle w:val="ReportCell"/>
            </w:pPr>
            <w:r>
              <w:t>100 × 2 + 50 × 3 → 350; враховано кожну позицію.</w:t>
            </w:r>
          </w:p>
        </w:tc>
      </w:tr>
      <w:tr>
        <w:trPr>
          <w:cantSplit/>
        </w:trPr>
        <w:tc>
          <w:tcPr>
            <w:tcW w:type="dxa" w:w="2154"/>
            <w:vAlign w:val="center"/>
            <w:tcMar>
              <w:top w:w="70" w:type="dxa"/>
              <w:bottom w:w="70" w:type="dxa"/>
              <w:left w:w="70" w:type="dxa"/>
              <w:right w:w="70" w:type="dxa"/>
            </w:tcMar>
          </w:tcPr>
          <w:p>
            <w:pPr>
              <w:pStyle w:val="ReportCell"/>
            </w:pPr>
            <w:r>
              <w:t>calcSubtotal</w:t>
            </w:r>
          </w:p>
        </w:tc>
        <w:tc>
          <w:tcPr>
            <w:tcW w:type="dxa" w:w="3231"/>
            <w:vAlign w:val="center"/>
            <w:tcMar>
              <w:top w:w="70" w:type="dxa"/>
              <w:bottom w:w="70" w:type="dxa"/>
              <w:left w:w="70" w:type="dxa"/>
              <w:right w:w="70" w:type="dxa"/>
            </w:tcMar>
          </w:tcPr>
          <w:p>
            <w:pPr>
              <w:pStyle w:val="ReportCell"/>
            </w:pPr>
            <w:r>
              <w:t>Нульова ціна; від’ємна ціна; порожній масив.</w:t>
            </w:r>
          </w:p>
        </w:tc>
        <w:tc>
          <w:tcPr>
            <w:tcW w:type="dxa" w:w="3969"/>
            <w:vAlign w:val="center"/>
            <w:tcMar>
              <w:top w:w="70" w:type="dxa"/>
              <w:bottom w:w="70" w:type="dxa"/>
              <w:left w:w="70" w:type="dxa"/>
              <w:right w:w="70" w:type="dxa"/>
            </w:tcMar>
          </w:tcPr>
          <w:p>
            <w:pPr>
              <w:pStyle w:val="ReportCell"/>
            </w:pPr>
            <w:r>
              <w:t>price: −0,01 / 0 / 0,01 → NEGATIVE_​PRICE / 0 / 0,01; [] → EMPTY_​ORDER.</w:t>
            </w:r>
          </w:p>
        </w:tc>
      </w:tr>
      <w:tr>
        <w:trPr>
          <w:cantSplit/>
        </w:trPr>
        <w:tc>
          <w:tcPr>
            <w:tcW w:type="dxa" w:w="2154"/>
            <w:vAlign w:val="center"/>
            <w:tcMar>
              <w:top w:w="70" w:type="dxa"/>
              <w:bottom w:w="70" w:type="dxa"/>
              <w:left w:w="70" w:type="dxa"/>
              <w:right w:w="70" w:type="dxa"/>
            </w:tcMar>
          </w:tcPr>
          <w:p>
            <w:pPr>
              <w:pStyle w:val="ReportCell"/>
            </w:pPr>
            <w:r>
              <w:t>calcSubtotal</w:t>
            </w:r>
          </w:p>
        </w:tc>
        <w:tc>
          <w:tcPr>
            <w:tcW w:type="dxa" w:w="3231"/>
            <w:vAlign w:val="center"/>
            <w:tcMar>
              <w:top w:w="70" w:type="dxa"/>
              <w:bottom w:w="70" w:type="dxa"/>
              <w:left w:w="70" w:type="dxa"/>
              <w:right w:w="70" w:type="dxa"/>
            </w:tcMar>
          </w:tcPr>
          <w:p>
            <w:pPr>
              <w:pStyle w:val="ReportCell"/>
            </w:pPr>
            <w:r>
              <w:t>Кількість: додатна ціла; нуль, від’ємна, дробова, NaN, ±Infinity.</w:t>
            </w:r>
          </w:p>
        </w:tc>
        <w:tc>
          <w:tcPr>
            <w:tcW w:type="dxa" w:w="3969"/>
            <w:vAlign w:val="center"/>
            <w:tcMar>
              <w:top w:w="70" w:type="dxa"/>
              <w:bottom w:w="70" w:type="dxa"/>
              <w:left w:w="70" w:type="dxa"/>
              <w:right w:w="70" w:type="dxa"/>
            </w:tcMar>
          </w:tcPr>
          <w:p>
            <w:pPr>
              <w:pStyle w:val="ReportCell"/>
            </w:pPr>
            <w:r>
              <w:t>qty: 0 / 1 / 2 → INVALID_​QTY / 100 / 200 для price = 100; 1,5 також відхиляється.</w:t>
            </w:r>
          </w:p>
        </w:tc>
      </w:tr>
      <w:tr>
        <w:trPr>
          <w:cantSplit/>
        </w:trPr>
        <w:tc>
          <w:tcPr>
            <w:tcW w:type="dxa" w:w="2154"/>
            <w:vAlign w:val="center"/>
            <w:tcMar>
              <w:top w:w="70" w:type="dxa"/>
              <w:bottom w:w="70" w:type="dxa"/>
              <w:left w:w="70" w:type="dxa"/>
              <w:right w:w="70" w:type="dxa"/>
            </w:tcMar>
          </w:tcPr>
          <w:p>
            <w:pPr>
              <w:pStyle w:val="ReportCell"/>
            </w:pPr>
            <w:r>
              <w:t>calcDiscountRate</w:t>
            </w:r>
          </w:p>
        </w:tc>
        <w:tc>
          <w:tcPr>
            <w:tcW w:type="dxa" w:w="3231"/>
            <w:vAlign w:val="center"/>
            <w:tcMar>
              <w:top w:w="70" w:type="dxa"/>
              <w:bottom w:w="70" w:type="dxa"/>
              <w:left w:w="70" w:type="dxa"/>
              <w:right w:w="70" w:type="dxa"/>
            </w:tcMar>
          </w:tcPr>
          <w:p>
            <w:pPr>
              <w:pStyle w:val="ReportCell"/>
            </w:pPr>
            <w:r>
              <w:t>basic, silver, gold; сума до порога та від порога.</w:t>
            </w:r>
          </w:p>
        </w:tc>
        <w:tc>
          <w:tcPr>
            <w:tcW w:type="dxa" w:w="3969"/>
            <w:vAlign w:val="center"/>
            <w:tcMar>
              <w:top w:w="70" w:type="dxa"/>
              <w:bottom w:w="70" w:type="dxa"/>
              <w:left w:w="70" w:type="dxa"/>
              <w:right w:w="70" w:type="dxa"/>
            </w:tcMar>
          </w:tcPr>
          <w:p>
            <w:pPr>
              <w:pStyle w:val="ReportCell"/>
            </w:pPr>
            <w:r>
              <w:t>Для 500 → 0 / 0,05 / 0,10; для 2000 → 0,05 / 0,10 / 0,15.</w:t>
            </w:r>
          </w:p>
        </w:tc>
      </w:tr>
      <w:tr>
        <w:trPr>
          <w:cantSplit/>
        </w:trPr>
        <w:tc>
          <w:tcPr>
            <w:tcW w:type="dxa" w:w="2154"/>
            <w:vAlign w:val="center"/>
            <w:tcMar>
              <w:top w:w="70" w:type="dxa"/>
              <w:bottom w:w="70" w:type="dxa"/>
              <w:left w:w="70" w:type="dxa"/>
              <w:right w:w="70" w:type="dxa"/>
            </w:tcMar>
          </w:tcPr>
          <w:p>
            <w:pPr>
              <w:pStyle w:val="ReportCell"/>
            </w:pPr>
            <w:r>
              <w:t>calcDiscountRate</w:t>
            </w:r>
          </w:p>
        </w:tc>
        <w:tc>
          <w:tcPr>
            <w:tcW w:type="dxa" w:w="3231"/>
            <w:vAlign w:val="center"/>
            <w:tcMar>
              <w:top w:w="70" w:type="dxa"/>
              <w:bottom w:w="70" w:type="dxa"/>
              <w:left w:w="70" w:type="dxa"/>
              <w:right w:w="70" w:type="dxa"/>
            </w:tcMar>
          </w:tcPr>
          <w:p>
            <w:pPr>
              <w:pStyle w:val="ReportCell"/>
            </w:pPr>
            <w:r>
              <w:t>Поріг великого замовлення; промокод і межа ставки.</w:t>
            </w:r>
          </w:p>
        </w:tc>
        <w:tc>
          <w:tcPr>
            <w:tcW w:type="dxa" w:w="3969"/>
            <w:vAlign w:val="center"/>
            <w:tcMar>
              <w:top w:w="70" w:type="dxa"/>
              <w:bottom w:w="70" w:type="dxa"/>
              <w:left w:w="70" w:type="dxa"/>
              <w:right w:w="70" w:type="dxa"/>
            </w:tcMar>
          </w:tcPr>
          <w:p>
            <w:pPr>
              <w:pStyle w:val="ReportCell"/>
            </w:pPr>
            <w:r>
              <w:t>1999 / 2000 / 2001 → 0 / 0,05 / 0,05 для basic; сумарні 0,24 / 0,25 / 0,30 → 0,24 / 0,25 / 0,25.</w:t>
            </w:r>
          </w:p>
        </w:tc>
      </w:tr>
      <w:tr>
        <w:trPr>
          <w:cantSplit/>
        </w:trPr>
        <w:tc>
          <w:tcPr>
            <w:tcW w:type="dxa" w:w="2154"/>
            <w:vAlign w:val="center"/>
            <w:tcMar>
              <w:top w:w="70" w:type="dxa"/>
              <w:bottom w:w="70" w:type="dxa"/>
              <w:left w:w="70" w:type="dxa"/>
              <w:right w:w="70" w:type="dxa"/>
            </w:tcMar>
          </w:tcPr>
          <w:p>
            <w:pPr>
              <w:pStyle w:val="ReportCell"/>
            </w:pPr>
            <w:r>
              <w:t>calcDiscountRate</w:t>
            </w:r>
          </w:p>
        </w:tc>
        <w:tc>
          <w:tcPr>
            <w:tcW w:type="dxa" w:w="3231"/>
            <w:vAlign w:val="center"/>
            <w:tcMar>
              <w:top w:w="70" w:type="dxa"/>
              <w:bottom w:w="70" w:type="dxa"/>
              <w:left w:w="70" w:type="dxa"/>
              <w:right w:w="70" w:type="dxa"/>
            </w:tcMar>
          </w:tcPr>
          <w:p>
            <w:pPr>
              <w:pStyle w:val="ReportCell"/>
            </w:pPr>
            <w:r>
              <w:t>Промокод відсутній, нульовий, додатний або від’ємний.</w:t>
            </w:r>
          </w:p>
        </w:tc>
        <w:tc>
          <w:tcPr>
            <w:tcW w:type="dxa" w:w="3969"/>
            <w:vAlign w:val="center"/>
            <w:tcMar>
              <w:top w:w="70" w:type="dxa"/>
              <w:bottom w:w="70" w:type="dxa"/>
              <w:left w:w="70" w:type="dxa"/>
              <w:right w:w="70" w:type="dxa"/>
            </w:tcMar>
          </w:tcPr>
          <w:p>
            <w:pPr>
              <w:pStyle w:val="ReportCell"/>
            </w:pPr>
            <w:r>
              <w:t>Відсутній → 0; −0,01 та −0,1 → INVALID_​PROMO; ставка не перевищує 0,25.</w:t>
            </w:r>
          </w:p>
        </w:tc>
      </w:tr>
      <w:tr>
        <w:trPr>
          <w:cantSplit/>
        </w:trPr>
        <w:tc>
          <w:tcPr>
            <w:tcW w:type="dxa" w:w="2154"/>
            <w:vAlign w:val="center"/>
            <w:tcMar>
              <w:top w:w="70" w:type="dxa"/>
              <w:bottom w:w="70" w:type="dxa"/>
              <w:left w:w="70" w:type="dxa"/>
              <w:right w:w="70" w:type="dxa"/>
            </w:tcMar>
          </w:tcPr>
          <w:p>
            <w:pPr>
              <w:pStyle w:val="ReportCell"/>
            </w:pPr>
            <w:r>
              <w:t>calcShipping</w:t>
            </w:r>
          </w:p>
        </w:tc>
        <w:tc>
          <w:tcPr>
            <w:tcW w:type="dxa" w:w="3231"/>
            <w:vAlign w:val="center"/>
            <w:tcMar>
              <w:top w:w="70" w:type="dxa"/>
              <w:bottom w:w="70" w:type="dxa"/>
              <w:left w:w="70" w:type="dxa"/>
              <w:right w:w="70" w:type="dxa"/>
            </w:tcMar>
          </w:tcPr>
          <w:p>
            <w:pPr>
              <w:pStyle w:val="ReportCell"/>
            </w:pPr>
            <w:r>
              <w:t>Сума нижча за 1000 та від 1000.</w:t>
            </w:r>
          </w:p>
        </w:tc>
        <w:tc>
          <w:tcPr>
            <w:tcW w:type="dxa" w:w="3969"/>
            <w:vAlign w:val="center"/>
            <w:tcMar>
              <w:top w:w="70" w:type="dxa"/>
              <w:bottom w:w="70" w:type="dxa"/>
              <w:left w:w="70" w:type="dxa"/>
              <w:right w:w="70" w:type="dxa"/>
            </w:tcMar>
          </w:tcPr>
          <w:p>
            <w:pPr>
              <w:pStyle w:val="ReportCell"/>
            </w:pPr>
            <w:r>
              <w:t>999 / 1000 / 1001 → 60 / 0 / 0; уточнено межі 999,99 і 1000,01.</w:t>
            </w:r>
          </w:p>
        </w:tc>
      </w:tr>
      <w:tr>
        <w:trPr>
          <w:cantSplit/>
        </w:trPr>
        <w:tc>
          <w:tcPr>
            <w:tcW w:type="dxa" w:w="2154"/>
            <w:vAlign w:val="center"/>
            <w:tcMar>
              <w:top w:w="70" w:type="dxa"/>
              <w:bottom w:w="70" w:type="dxa"/>
              <w:left w:w="70" w:type="dxa"/>
              <w:right w:w="70" w:type="dxa"/>
            </w:tcMar>
          </w:tcPr>
          <w:p>
            <w:pPr>
              <w:pStyle w:val="ReportCell"/>
            </w:pPr>
            <w:r>
              <w:t>calcOrderTotal</w:t>
            </w:r>
          </w:p>
        </w:tc>
        <w:tc>
          <w:tcPr>
            <w:tcW w:type="dxa" w:w="3231"/>
            <w:vAlign w:val="center"/>
            <w:tcMar>
              <w:top w:w="70" w:type="dxa"/>
              <w:bottom w:w="70" w:type="dxa"/>
              <w:left w:w="70" w:type="dxa"/>
              <w:right w:w="70" w:type="dxa"/>
            </w:tcMar>
          </w:tcPr>
          <w:p>
            <w:pPr>
              <w:pStyle w:val="ReportCell"/>
            </w:pPr>
            <w:r>
              <w:t>Комбінації позицій, рівня та промокоду; округлення й доставка.</w:t>
            </w:r>
          </w:p>
        </w:tc>
        <w:tc>
          <w:tcPr>
            <w:tcW w:type="dxa" w:w="3969"/>
            <w:vAlign w:val="center"/>
            <w:tcMar>
              <w:top w:w="70" w:type="dxa"/>
              <w:bottom w:w="70" w:type="dxa"/>
              <w:left w:w="70" w:type="dxa"/>
              <w:right w:w="70" w:type="dxa"/>
            </w:tcMar>
          </w:tcPr>
          <w:p>
            <w:pPr>
              <w:pStyle w:val="ReportCell"/>
            </w:pPr>
            <w:r>
              <w:t>500 basic → 560; 1200 gold → 1080; 1050 gold → 1005, бо після знижки 945 &lt; 1000.</w:t>
            </w:r>
          </w:p>
        </w:tc>
      </w:tr>
      <w:tr>
        <w:trPr>
          <w:cantSplit/>
        </w:trPr>
        <w:tc>
          <w:tcPr>
            <w:tcW w:type="dxa" w:w="2154"/>
            <w:vAlign w:val="center"/>
            <w:tcMar>
              <w:top w:w="70" w:type="dxa"/>
              <w:bottom w:w="70" w:type="dxa"/>
              <w:left w:w="70" w:type="dxa"/>
              <w:right w:w="70" w:type="dxa"/>
            </w:tcMar>
          </w:tcPr>
          <w:p>
            <w:pPr>
              <w:pStyle w:val="ReportCell"/>
            </w:pPr>
            <w:r>
              <w:t>calcOrderTotal</w:t>
            </w:r>
          </w:p>
        </w:tc>
        <w:tc>
          <w:tcPr>
            <w:tcW w:type="dxa" w:w="3231"/>
            <w:vAlign w:val="center"/>
            <w:tcMar>
              <w:top w:w="70" w:type="dxa"/>
              <w:bottom w:w="70" w:type="dxa"/>
              <w:left w:w="70" w:type="dxa"/>
              <w:right w:w="70" w:type="dxa"/>
            </w:tcMar>
          </w:tcPr>
          <w:p>
            <w:pPr>
              <w:pStyle w:val="ReportCell"/>
            </w:pPr>
            <w:r>
              <w:t>Поріг доставки саме після знижки 20 %.</w:t>
            </w:r>
          </w:p>
        </w:tc>
        <w:tc>
          <w:tcPr>
            <w:tcW w:type="dxa" w:w="3969"/>
            <w:vAlign w:val="center"/>
            <w:tcMar>
              <w:top w:w="70" w:type="dxa"/>
              <w:bottom w:w="70" w:type="dxa"/>
              <w:left w:w="70" w:type="dxa"/>
              <w:right w:w="70" w:type="dxa"/>
            </w:tcMar>
          </w:tcPr>
          <w:p>
            <w:pPr>
              <w:pStyle w:val="ReportCell"/>
            </w:pPr>
            <w:r>
              <w:t>Вхід 1249,99 / 1250 / 1250,01 → підсумок 1059,99 / 1000 / 1000,01; рівно 1000 дає безкоштовну доставку.</w:t>
            </w:r>
          </w:p>
        </w:tc>
      </w:tr>
      <w:tr>
        <w:trPr>
          <w:cantSplit/>
        </w:trPr>
        <w:tc>
          <w:tcPr>
            <w:tcW w:type="dxa" w:w="2154"/>
            <w:vAlign w:val="center"/>
            <w:tcMar>
              <w:top w:w="70" w:type="dxa"/>
              <w:bottom w:w="70" w:type="dxa"/>
              <w:left w:w="70" w:type="dxa"/>
              <w:right w:w="70" w:type="dxa"/>
            </w:tcMar>
          </w:tcPr>
          <w:p>
            <w:pPr>
              <w:pStyle w:val="ReportCell"/>
            </w:pPr>
            <w:r>
              <w:t>calcOrderTotal</w:t>
            </w:r>
          </w:p>
        </w:tc>
        <w:tc>
          <w:tcPr>
            <w:tcW w:type="dxa" w:w="3231"/>
            <w:vAlign w:val="center"/>
            <w:tcMar>
              <w:top w:w="70" w:type="dxa"/>
              <w:bottom w:w="70" w:type="dxa"/>
              <w:left w:w="70" w:type="dxa"/>
              <w:right w:w="70" w:type="dxa"/>
            </w:tcMar>
          </w:tcPr>
          <w:p>
            <w:pPr>
              <w:pStyle w:val="ReportCell"/>
            </w:pPr>
            <w:r>
              <w:t>Некоректні позиції або промокод.</w:t>
            </w:r>
          </w:p>
        </w:tc>
        <w:tc>
          <w:tcPr>
            <w:tcW w:type="dxa" w:w="3969"/>
            <w:vAlign w:val="center"/>
            <w:tcMar>
              <w:top w:w="70" w:type="dxa"/>
              <w:bottom w:w="70" w:type="dxa"/>
              <w:left w:w="70" w:type="dxa"/>
              <w:right w:w="70" w:type="dxa"/>
            </w:tcMar>
          </w:tcPr>
          <w:p>
            <w:pPr>
              <w:pStyle w:val="ReportCell"/>
            </w:pPr>
            <w:r>
              <w:t>Передає EMPTY_​ORDER, NEGATIVE_​PRICE, INVALID_​QTY та INVALID_​PROMO без приховування.</w:t>
            </w:r>
          </w:p>
        </w:tc>
      </w:tr>
      <w:tr>
        <w:trPr>
          <w:cantSplit/>
        </w:trPr>
        <w:tc>
          <w:tcPr>
            <w:tcW w:type="dxa" w:w="2154"/>
            <w:vAlign w:val="center"/>
            <w:tcMar>
              <w:top w:w="70" w:type="dxa"/>
              <w:bottom w:w="70" w:type="dxa"/>
              <w:left w:w="70" w:type="dxa"/>
              <w:right w:w="70" w:type="dxa"/>
            </w:tcMar>
          </w:tcPr>
          <w:p>
            <w:pPr>
              <w:pStyle w:val="ReportCell"/>
            </w:pPr>
            <w:r>
              <w:t>calcInstallment</w:t>
            </w:r>
          </w:p>
        </w:tc>
        <w:tc>
          <w:tcPr>
            <w:tcW w:type="dxa" w:w="3231"/>
            <w:vAlign w:val="center"/>
            <w:tcMar>
              <w:top w:w="70" w:type="dxa"/>
              <w:bottom w:w="70" w:type="dxa"/>
              <w:left w:w="70" w:type="dxa"/>
              <w:right w:w="70" w:type="dxa"/>
            </w:tcMar>
          </w:tcPr>
          <w:p>
            <w:pPr>
              <w:pStyle w:val="ReportCell"/>
            </w:pPr>
            <w:r>
              <w:t>Скінченна невід’ємна сума; строки 3, 6, 12.</w:t>
            </w:r>
          </w:p>
        </w:tc>
        <w:tc>
          <w:tcPr>
            <w:tcW w:type="dxa" w:w="3969"/>
            <w:vAlign w:val="center"/>
            <w:tcMar>
              <w:top w:w="70" w:type="dxa"/>
              <w:bottom w:w="70" w:type="dxa"/>
              <w:left w:w="70" w:type="dxa"/>
              <w:right w:w="70" w:type="dxa"/>
            </w:tcMar>
          </w:tcPr>
          <w:p>
            <w:pPr>
              <w:pStyle w:val="ReportCell"/>
            </w:pPr>
            <w:r>
              <w:t>1200 → 408 / 208 / 108. Сума −1 / 0 / 1 → INVALID_​TOTAL / 0 / 0,34 для 3 місяців.</w:t>
            </w:r>
          </w:p>
        </w:tc>
      </w:tr>
      <w:tr>
        <w:trPr>
          <w:cantSplit/>
        </w:trPr>
        <w:tc>
          <w:tcPr>
            <w:tcW w:type="dxa" w:w="2154"/>
            <w:vAlign w:val="center"/>
            <w:tcMar>
              <w:top w:w="70" w:type="dxa"/>
              <w:bottom w:w="70" w:type="dxa"/>
              <w:left w:w="70" w:type="dxa"/>
              <w:right w:w="70" w:type="dxa"/>
            </w:tcMar>
          </w:tcPr>
          <w:p>
            <w:pPr>
              <w:pStyle w:val="ReportCell"/>
            </w:pPr>
            <w:r>
              <w:t>calcInstallment</w:t>
            </w:r>
          </w:p>
        </w:tc>
        <w:tc>
          <w:tcPr>
            <w:tcW w:type="dxa" w:w="3231"/>
            <w:vAlign w:val="center"/>
            <w:tcMar>
              <w:top w:w="70" w:type="dxa"/>
              <w:bottom w:w="70" w:type="dxa"/>
              <w:left w:w="70" w:type="dxa"/>
              <w:right w:w="70" w:type="dxa"/>
            </w:tcMar>
          </w:tcPr>
          <w:p>
            <w:pPr>
              <w:pStyle w:val="ReportCell"/>
            </w:pPr>
            <w:r>
              <w:t>Сусіди допустимих строків; дробовий або непідтримуваний строк.</w:t>
            </w:r>
          </w:p>
        </w:tc>
        <w:tc>
          <w:tcPr>
            <w:tcW w:type="dxa" w:w="3969"/>
            <w:vAlign w:val="center"/>
            <w:tcMar>
              <w:top w:w="70" w:type="dxa"/>
              <w:bottom w:w="70" w:type="dxa"/>
              <w:left w:w="70" w:type="dxa"/>
              <w:right w:w="70" w:type="dxa"/>
            </w:tcMar>
          </w:tcPr>
          <w:p>
            <w:pPr>
              <w:pStyle w:val="ReportCell"/>
            </w:pPr>
            <w:r>
              <w:t>2 / 3 / 4; 5 / 6 / 7; 11 / 12 / 13: приймається лише центральне значення. Інші → UNSUPPORTED_​MONTHS.</w:t>
            </w:r>
          </w:p>
        </w:tc>
      </w:tr>
      <w:tr>
        <w:trPr>
          <w:cantSplit/>
        </w:trPr>
        <w:tc>
          <w:tcPr>
            <w:tcW w:type="dxa" w:w="2154"/>
            <w:vAlign w:val="center"/>
            <w:tcMar>
              <w:top w:w="70" w:type="dxa"/>
              <w:bottom w:w="70" w:type="dxa"/>
              <w:left w:w="70" w:type="dxa"/>
              <w:right w:w="70" w:type="dxa"/>
            </w:tcMar>
          </w:tcPr>
          <w:p>
            <w:pPr>
              <w:pStyle w:val="ReportCell"/>
            </w:pPr>
            <w:r>
              <w:t>calcInstallment</w:t>
            </w:r>
          </w:p>
        </w:tc>
        <w:tc>
          <w:tcPr>
            <w:tcW w:type="dxa" w:w="3231"/>
            <w:vAlign w:val="center"/>
            <w:tcMar>
              <w:top w:w="70" w:type="dxa"/>
              <w:bottom w:w="70" w:type="dxa"/>
              <w:left w:w="70" w:type="dxa"/>
              <w:right w:w="70" w:type="dxa"/>
            </w:tcMar>
          </w:tcPr>
          <w:p>
            <w:pPr>
              <w:pStyle w:val="ReportCell"/>
            </w:pPr>
            <w:r>
              <w:t>Грошове округлення; малі, великі та експоненційні числа.</w:t>
            </w:r>
          </w:p>
        </w:tc>
        <w:tc>
          <w:tcPr>
            <w:tcW w:type="dxa" w:w="3969"/>
            <w:vAlign w:val="center"/>
            <w:tcMar>
              <w:top w:w="70" w:type="dxa"/>
              <w:bottom w:w="70" w:type="dxa"/>
              <w:left w:w="70" w:type="dxa"/>
              <w:right w:w="70" w:type="dxa"/>
            </w:tcMar>
          </w:tcPr>
          <w:p>
            <w:pPr>
              <w:pStyle w:val="ReportCell"/>
            </w:pPr>
            <w:r>
              <w:t>0,749 / 0,750 / 0,751 на 3 місяці → 0,25 / 0,26 / 0,26; MIN_​VALUE → 0; 10¹⁰ на 12 місяців → 900000000.</w:t>
            </w:r>
          </w:p>
        </w:tc>
      </w:tr>
      <w:tr>
        <w:trPr>
          <w:cantSplit/>
        </w:trPr>
        <w:tc>
          <w:tcPr>
            <w:tcW w:type="dxa" w:w="2154"/>
            <w:vAlign w:val="center"/>
            <w:tcMar>
              <w:top w:w="70" w:type="dxa"/>
              <w:bottom w:w="70" w:type="dxa"/>
              <w:left w:w="70" w:type="dxa"/>
              <w:right w:w="70" w:type="dxa"/>
            </w:tcMar>
          </w:tcPr>
          <w:p>
            <w:pPr>
              <w:pStyle w:val="ReportCell"/>
            </w:pPr>
            <w:r>
              <w:t>calcInstallment</w:t>
            </w:r>
          </w:p>
        </w:tc>
        <w:tc>
          <w:tcPr>
            <w:tcW w:type="dxa" w:w="3231"/>
            <w:vAlign w:val="center"/>
            <w:tcMar>
              <w:top w:w="70" w:type="dxa"/>
              <w:bottom w:w="70" w:type="dxa"/>
              <w:left w:w="70" w:type="dxa"/>
              <w:right w:w="70" w:type="dxa"/>
            </w:tcMar>
          </w:tcPr>
          <w:p>
            <w:pPr>
              <w:pStyle w:val="ReportCell"/>
            </w:pPr>
            <w:r>
              <w:t>Від’ємна сума, NaN, ±Infinity; хибні типи під час виконання; переповнення.</w:t>
            </w:r>
          </w:p>
        </w:tc>
        <w:tc>
          <w:tcPr>
            <w:tcW w:type="dxa" w:w="3969"/>
            <w:vAlign w:val="center"/>
            <w:tcMar>
              <w:top w:w="70" w:type="dxa"/>
              <w:bottom w:w="70" w:type="dxa"/>
              <w:left w:w="70" w:type="dxa"/>
              <w:right w:w="70" w:type="dxa"/>
            </w:tcMar>
          </w:tcPr>
          <w:p>
            <w:pPr>
              <w:pStyle w:val="ReportCell"/>
            </w:pPr>
            <w:r>
              <w:t>INVALID_​TOTAL або UNSUPPORTED_​MONTHS; 10²¹, 1,2 × 10²¹ та MAX_​VALUE → INSTALLMENT_​OUT_​OF_​RANGE.</w:t>
            </w:r>
          </w:p>
        </w:tc>
      </w:tr>
    </w:tbl>
    <w:p>
      <w:pPr>
        <w:pStyle w:val="ReportBody"/>
      </w:pPr>
      <w:r>
        <w:t>У показовому прикладі збережено саме передбачені перевірки. calcShipping не викидає винятків для некоректних чисел; calcDiscountRate не перевіряє довільний рядок замість Tier, а calcSubtotal не перевіряє скінченність price. Такі додаткові обмеження методичкою не визначені, тому реалізацію прикладу не розширено. Це межі контракту, а не підстава приписувати функціям відсутню валідацію.</w:t>
      </w:r>
    </w:p>
    <w:p>
      <w:pPr>
        <w:pStyle w:val="ReportHeading"/>
      </w:pPr>
      <w:r>
        <w:t>3. Лістинги розроблених тестів із поясненням добору вхідних даних</w:t>
      </w:r>
    </w:p>
    <w:p>
      <w:pPr>
        <w:pStyle w:val="ReportBody"/>
      </w:pPr>
      <w:r>
        <w:t>Лістинг 1 містить фактичний файл tests/order-example.test.ts. Порожні рядки лістингів опущено для компактності; виконувані рядки та очікувані числа взято з репозиторію. Для варіанта 12 повний набір тестів наведено в розділі 6.</w:t>
      </w:r>
    </w:p>
    <w:p>
      <w:pPr>
        <w:pStyle w:val="ReportBody"/>
      </w:pPr>
      <w:r>
        <w:t>Для calcSubtotal обрано кілька позицій і кількостей, порожній масив, ціну біля нуля та недопустимі кількості. Другу некоректну позицію перевірено окремо, щоб цикл не валідував лише перший елемент. Для calcDiscountRate перевірено всі рівні клієнта, поріг 1999/2000/2001, відсутність промокоду, від’ємний промокод і обмеження ставки 25 %.</w:t>
      </w:r>
    </w:p>
    <w:p>
      <w:pPr>
        <w:pStyle w:val="ReportBody"/>
      </w:pPr>
      <w:r>
        <w:t>Для calcShipping використано обидва класи та сусідів порога, зокрема суми з копійками. Для calcOrderTotal перевірено доставку після знижки, промокод за замовчуванням, кілька позицій, округлення та передавання всіх чотирьох винятків. Випадок 1050 для gold фіксує бізнес-правило методички: знижка переводить 945 грн нижче порога доставки, отже результат становить 1005 грн.</w:t>
      </w:r>
    </w:p>
    <w:p>
      <w:pPr>
        <w:pStyle w:val="ReportBody"/>
      </w:pPr>
      <w:r>
        <w:t>Параметризація it.each застосована до однорідних сценаріїв. Очікувані результати задано числами, незалежними від формули реалізації. toBeCloseTo використано для грошових сум і ставок, toBe — для цілочислового тарифу доставки. У toThrow передається функція, яка викликає модуль, щоб Vitest міг перехопити виняток. Перший тест явно поділено на Arrange — підготовка, Act — виклик, Assert — перевірка. Кожен тест створює власні дані та не залежить від порядку запуску.</w:t>
      </w:r>
    </w:p>
    <w:p>
      <w:pPr>
        <w:pStyle w:val="ReportLabel"/>
      </w:pPr>
      <w:r>
        <w:t>Лістинг 1. Тести показового прикладу</w:t>
      </w:r>
    </w:p>
    <w:p>
      <w:pPr>
        <w:pStyle w:val="ReportCode"/>
      </w:pPr>
      <w:r>
        <w:t>import { describe, expect, it } from 'vitest';</w:t>
      </w:r>
    </w:p>
    <w:p>
      <w:pPr>
        <w:pStyle w:val="ReportCode"/>
      </w:pPr>
      <w:r>
        <w:t>import {</w:t>
      </w:r>
    </w:p>
    <w:p>
      <w:pPr>
        <w:pStyle w:val="ReportCode"/>
      </w:pPr>
      <w:r>
        <w:t xml:space="preserve">  calcSubtotal,</w:t>
      </w:r>
    </w:p>
    <w:p>
      <w:pPr>
        <w:pStyle w:val="ReportCode"/>
      </w:pPr>
      <w:r>
        <w:t xml:space="preserve">  calcDiscountRate,</w:t>
      </w:r>
    </w:p>
    <w:p>
      <w:pPr>
        <w:pStyle w:val="ReportCode"/>
      </w:pPr>
      <w:r>
        <w:t xml:space="preserve">  calcShipping,</w:t>
      </w:r>
    </w:p>
    <w:p>
      <w:pPr>
        <w:pStyle w:val="ReportCode"/>
      </w:pPr>
      <w:r>
        <w:t xml:space="preserve">  calcOrderTotal,</w:t>
      </w:r>
    </w:p>
    <w:p>
      <w:pPr>
        <w:pStyle w:val="ReportCode"/>
      </w:pPr>
      <w:r>
        <w:t xml:space="preserve">  type OrderItem,</w:t>
      </w:r>
    </w:p>
    <w:p>
      <w:pPr>
        <w:pStyle w:val="ReportCode"/>
      </w:pPr>
      <w:r>
        <w:t xml:space="preserve">  type Tier,</w:t>
      </w:r>
    </w:p>
    <w:p>
      <w:pPr>
        <w:pStyle w:val="ReportCode"/>
      </w:pPr>
      <w:r>
        <w:t>} from '../src/order';</w:t>
      </w:r>
    </w:p>
    <w:p>
      <w:pPr>
        <w:pStyle w:val="ReportCode"/>
      </w:pPr>
      <w:r>
        <w:t>const item = (price: number, qty = 1): OrderItem =&gt; ({</w:t>
      </w:r>
    </w:p>
    <w:p>
      <w:pPr>
        <w:pStyle w:val="ReportCode"/>
      </w:pPr>
      <w:r>
        <w:t xml:space="preserve">  sku: 'SKU-1',</w:t>
      </w:r>
    </w:p>
    <w:p>
      <w:pPr>
        <w:pStyle w:val="ReportCode"/>
      </w:pPr>
      <w:r>
        <w:t xml:space="preserve">  price,</w:t>
      </w:r>
    </w:p>
    <w:p>
      <w:pPr>
        <w:pStyle w:val="ReportCode"/>
      </w:pPr>
      <w:r>
        <w:t xml:space="preserve">  qty,</w:t>
      </w:r>
    </w:p>
    <w:p>
      <w:pPr>
        <w:pStyle w:val="ReportCode"/>
      </w:pPr>
      <w:r>
        <w:t>});</w:t>
      </w:r>
    </w:p>
    <w:p>
      <w:pPr>
        <w:pStyle w:val="ReportCode"/>
      </w:pPr>
      <w:r>
        <w:t>describe('calcSubtotal', () =&gt; {</w:t>
      </w:r>
    </w:p>
    <w:p>
      <w:pPr>
        <w:pStyle w:val="ReportCode"/>
      </w:pPr>
      <w:r>
        <w:t xml:space="preserve">  it('підсумовує позиції з урахуванням кількості', () =&gt; {</w:t>
      </w:r>
    </w:p>
    <w:p>
      <w:pPr>
        <w:pStyle w:val="ReportCode"/>
      </w:pPr>
      <w:r>
        <w:t xml:space="preserve">    // Arrange</w:t>
      </w:r>
    </w:p>
    <w:p>
      <w:pPr>
        <w:pStyle w:val="ReportCode"/>
      </w:pPr>
      <w:r>
        <w:t xml:space="preserve">    const items = [item(100, 2), { sku: 'SKU-2', price: 50, qty: 3 }];</w:t>
      </w:r>
    </w:p>
    <w:p>
      <w:pPr>
        <w:pStyle w:val="ReportCode"/>
      </w:pPr>
      <w:r>
        <w:t xml:space="preserve">    // Act</w:t>
      </w:r>
    </w:p>
    <w:p>
      <w:pPr>
        <w:pStyle w:val="ReportCode"/>
      </w:pPr>
      <w:r>
        <w:t xml:space="preserve">    const result = calcSubtotal(items);</w:t>
      </w:r>
    </w:p>
    <w:p>
      <w:pPr>
        <w:pStyle w:val="ReportCode"/>
      </w:pPr>
      <w:r>
        <w:t xml:space="preserve">    // Assert</w:t>
      </w:r>
    </w:p>
    <w:p>
      <w:pPr>
        <w:pStyle w:val="ReportCode"/>
      </w:pPr>
      <w:r>
        <w:t xml:space="preserve">    expect(result).toBeCloseTo(350, 2);</w:t>
      </w:r>
    </w:p>
    <w:p>
      <w:pPr>
        <w:pStyle w:val="ReportCode"/>
      </w:pPr>
      <w:r>
        <w:t xml:space="preserve">  });</w:t>
      </w:r>
    </w:p>
    <w:p>
      <w:pPr>
        <w:pStyle w:val="ReportCode"/>
      </w:pPr>
      <w:r>
        <w:t xml:space="preserve">  it('відхиляє порожнє замовлення', () =&gt; {</w:t>
      </w:r>
    </w:p>
    <w:p>
      <w:pPr>
        <w:pStyle w:val="ReportCode"/>
      </w:pPr>
      <w:r>
        <w:t xml:space="preserve">    expect(() =&gt; calcSubtotal([])).toThrow('EMPTY_ORDER');</w:t>
      </w:r>
    </w:p>
    <w:p>
      <w:pPr>
        <w:pStyle w:val="ReportCode"/>
      </w:pPr>
      <w:r>
        <w:t xml:space="preserve">  });</w:t>
      </w:r>
    </w:p>
    <w:p>
      <w:pPr>
        <w:pStyle w:val="ReportCode"/>
      </w:pPr>
      <w:r>
        <w:t xml:space="preserve">  it.each([</w:t>
      </w:r>
    </w:p>
    <w:p>
      <w:pPr>
        <w:pStyle w:val="ReportCode"/>
      </w:pPr>
      <w:r>
        <w:t xml:space="preserve">    [0, 0],</w:t>
      </w:r>
    </w:p>
    <w:p>
      <w:pPr>
        <w:pStyle w:val="ReportCode"/>
      </w:pPr>
      <w:r>
        <w:t xml:space="preserve">    [0.01, 0.01],</w:t>
      </w:r>
    </w:p>
    <w:p>
      <w:pPr>
        <w:pStyle w:val="ReportCode"/>
      </w:pPr>
      <w:r>
        <w:t xml:space="preserve">    [0.1, 0.1],</w:t>
      </w:r>
    </w:p>
    <w:p>
      <w:pPr>
        <w:pStyle w:val="ReportCode"/>
      </w:pPr>
      <w:r>
        <w:t xml:space="preserve">  ])('приймає ціну %s і повертає %s', (price, expected) =&gt; {</w:t>
      </w:r>
    </w:p>
    <w:p>
      <w:pPr>
        <w:pStyle w:val="ReportCode"/>
      </w:pPr>
      <w:r>
        <w:t xml:space="preserve">    expect(calcSubtotal([item(price)])).toBeCloseTo(expected, 6);</w:t>
      </w:r>
    </w:p>
    <w:p>
      <w:pPr>
        <w:pStyle w:val="ReportCode"/>
      </w:pPr>
      <w:r>
        <w:t xml:space="preserve">  });</w:t>
      </w:r>
    </w:p>
    <w:p>
      <w:pPr>
        <w:pStyle w:val="ReportCode"/>
      </w:pPr>
      <w:r>
        <w:t xml:space="preserve">  it.each([-1, -0.01])('відхиляє від’ємну ціну %s', (price) =&gt; {</w:t>
      </w:r>
    </w:p>
    <w:p>
      <w:pPr>
        <w:pStyle w:val="ReportCode"/>
      </w:pPr>
      <w:r>
        <w:t xml:space="preserve">    expect(() =&gt; calcSubtotal([item(price)])).toThrow('NEGATIVE_PRICE');</w:t>
      </w:r>
    </w:p>
    <w:p>
      <w:pPr>
        <w:pStyle w:val="ReportCode"/>
      </w:pPr>
      <w:r>
        <w:t xml:space="preserve">  });</w:t>
      </w:r>
    </w:p>
    <w:p>
      <w:pPr>
        <w:pStyle w:val="ReportCode"/>
      </w:pPr>
      <w:r>
        <w:t xml:space="preserve">  it.each([0, -1, 1.5, NaN, Infinity, -Infinity])(</w:t>
      </w:r>
    </w:p>
    <w:p>
      <w:pPr>
        <w:pStyle w:val="ReportCode"/>
      </w:pPr>
      <w:r>
        <w:t xml:space="preserve">    'відхиляє некоректну кількість %s',</w:t>
      </w:r>
    </w:p>
    <w:p>
      <w:pPr>
        <w:pStyle w:val="ReportCode"/>
      </w:pPr>
      <w:r>
        <w:t xml:space="preserve">    (qty) =&gt; {</w:t>
      </w:r>
    </w:p>
    <w:p>
      <w:pPr>
        <w:pStyle w:val="ReportCode"/>
      </w:pPr>
      <w:r>
        <w:t xml:space="preserve">      expect(() =&gt; calcSubtotal([item(100, qty)])).toThrow('INVALID_QTY');</w:t>
      </w:r>
    </w:p>
    <w:p>
      <w:pPr>
        <w:pStyle w:val="ReportCode"/>
      </w:pPr>
      <w:r>
        <w:t xml:space="preserve">    },</w:t>
      </w:r>
    </w:p>
    <w:p>
      <w:pPr>
        <w:pStyle w:val="ReportCode"/>
      </w:pPr>
      <w:r>
        <w:t xml:space="preserve">  );</w:t>
      </w:r>
    </w:p>
    <w:p>
      <w:pPr>
        <w:pStyle w:val="ReportCode"/>
      </w:pPr>
      <w:r>
        <w:t xml:space="preserve">  it.each([</w:t>
      </w:r>
    </w:p>
    <w:p>
      <w:pPr>
        <w:pStyle w:val="ReportCode"/>
      </w:pPr>
      <w:r>
        <w:t xml:space="preserve">    [1, 100],</w:t>
      </w:r>
    </w:p>
    <w:p>
      <w:pPr>
        <w:pStyle w:val="ReportCode"/>
      </w:pPr>
      <w:r>
        <w:t xml:space="preserve">    [2, 200],</w:t>
      </w:r>
    </w:p>
    <w:p>
      <w:pPr>
        <w:pStyle w:val="ReportCode"/>
      </w:pPr>
      <w:r>
        <w:t xml:space="preserve">  ])('для кількості %s повертає %s', (qty, expected) =&gt; {</w:t>
      </w:r>
    </w:p>
    <w:p>
      <w:pPr>
        <w:pStyle w:val="ReportCode"/>
      </w:pPr>
      <w:r>
        <w:t xml:space="preserve">    expect(calcSubtotal([item(100, qty)])).toBeCloseTo(expected, 2);</w:t>
      </w:r>
    </w:p>
    <w:p>
      <w:pPr>
        <w:pStyle w:val="ReportCode"/>
      </w:pPr>
      <w:r>
        <w:t xml:space="preserve">  });</w:t>
      </w:r>
    </w:p>
    <w:p>
      <w:pPr>
        <w:pStyle w:val="ReportCode"/>
      </w:pPr>
      <w:r>
        <w:t xml:space="preserve">  it('перевіряє також другу позицію замовлення', () =&gt; {</w:t>
      </w:r>
    </w:p>
    <w:p>
      <w:pPr>
        <w:pStyle w:val="ReportCode"/>
      </w:pPr>
      <w:r>
        <w:t xml:space="preserve">    expect(() =&gt; calcSubtotal([item(100), item(-0.01)])).toThrow(</w:t>
      </w:r>
    </w:p>
    <w:p>
      <w:pPr>
        <w:pStyle w:val="ReportCode"/>
      </w:pPr>
      <w:r>
        <w:t xml:space="preserve">      'NEGATIVE_PRICE',</w:t>
      </w:r>
    </w:p>
    <w:p>
      <w:pPr>
        <w:pStyle w:val="ReportCode"/>
      </w:pPr>
      <w:r>
        <w:t xml:space="preserve">    );</w:t>
      </w:r>
    </w:p>
    <w:p>
      <w:pPr>
        <w:pStyle w:val="ReportCode"/>
      </w:pPr>
      <w:r>
        <w:t xml:space="preserve">  });</w:t>
      </w:r>
    </w:p>
    <w:p>
      <w:pPr>
        <w:pStyle w:val="ReportCode"/>
      </w:pPr>
      <w:r>
        <w:t>});</w:t>
      </w:r>
    </w:p>
    <w:p>
      <w:pPr>
        <w:pStyle w:val="ReportCode"/>
      </w:pPr>
      <w:r>
        <w:t>describe('calcDiscountRate', () =&gt; {</w:t>
      </w:r>
    </w:p>
    <w:p>
      <w:pPr>
        <w:pStyle w:val="ReportCode"/>
      </w:pPr>
      <w:r>
        <w:t xml:space="preserve">  it.each&lt;[Tier, number, number]&gt;([</w:t>
      </w:r>
    </w:p>
    <w:p>
      <w:pPr>
        <w:pStyle w:val="ReportCode"/>
      </w:pPr>
      <w:r>
        <w:t xml:space="preserve">    ['basic', 500, 0],</w:t>
      </w:r>
    </w:p>
    <w:p>
      <w:pPr>
        <w:pStyle w:val="ReportCode"/>
      </w:pPr>
      <w:r>
        <w:t xml:space="preserve">    ['silver', 500, 0.05],</w:t>
      </w:r>
    </w:p>
    <w:p>
      <w:pPr>
        <w:pStyle w:val="ReportCode"/>
      </w:pPr>
      <w:r>
        <w:t xml:space="preserve">    ['gold', 500, 0.1],</w:t>
      </w:r>
    </w:p>
    <w:p>
      <w:pPr>
        <w:pStyle w:val="ReportCode"/>
      </w:pPr>
      <w:r>
        <w:t xml:space="preserve">    ['basic', 2000, 0.05],</w:t>
      </w:r>
    </w:p>
    <w:p>
      <w:pPr>
        <w:pStyle w:val="ReportCode"/>
      </w:pPr>
      <w:r>
        <w:t xml:space="preserve">    ['silver', 2000, 0.1],</w:t>
      </w:r>
    </w:p>
    <w:p>
      <w:pPr>
        <w:pStyle w:val="ReportCode"/>
      </w:pPr>
      <w:r>
        <w:t xml:space="preserve">    ['gold', 2000, 0.15],</w:t>
      </w:r>
    </w:p>
    <w:p>
      <w:pPr>
        <w:pStyle w:val="ReportCode"/>
      </w:pPr>
      <w:r>
        <w:t xml:space="preserve">  ])('рівень %s із сумою %s дає ставку %s', (tier, subtotal, expected) =&gt; {</w:t>
      </w:r>
    </w:p>
    <w:p>
      <w:pPr>
        <w:pStyle w:val="ReportCode"/>
      </w:pPr>
      <w:r>
        <w:t xml:space="preserve">    expect(calcDiscountRate(tier, subtotal)).toBeCloseTo(expected, 4);</w:t>
      </w:r>
    </w:p>
    <w:p>
      <w:pPr>
        <w:pStyle w:val="ReportCode"/>
      </w:pPr>
      <w:r>
        <w:t xml:space="preserve">  });</w:t>
      </w:r>
    </w:p>
    <w:p>
      <w:pPr>
        <w:pStyle w:val="ReportCode"/>
      </w:pPr>
      <w:r>
        <w:t xml:space="preserve">  it.each([</w:t>
      </w:r>
    </w:p>
    <w:p>
      <w:pPr>
        <w:pStyle w:val="ReportCode"/>
      </w:pPr>
      <w:r>
        <w:t xml:space="preserve">    [1999, 0],</w:t>
      </w:r>
    </w:p>
    <w:p>
      <w:pPr>
        <w:pStyle w:val="ReportCode"/>
      </w:pPr>
      <w:r>
        <w:t xml:space="preserve">    [2000, 0.05],</w:t>
      </w:r>
    </w:p>
    <w:p>
      <w:pPr>
        <w:pStyle w:val="ReportCode"/>
      </w:pPr>
      <w:r>
        <w:t xml:space="preserve">    [2001, 0.05],</w:t>
      </w:r>
    </w:p>
    <w:p>
      <w:pPr>
        <w:pStyle w:val="ReportCode"/>
      </w:pPr>
      <w:r>
        <w:t xml:space="preserve">  ])('межа великого замовлення %s дає %s', (subtotal, expected) =&gt; {</w:t>
      </w:r>
    </w:p>
    <w:p>
      <w:pPr>
        <w:pStyle w:val="ReportCode"/>
      </w:pPr>
      <w:r>
        <w:t xml:space="preserve">    expect(calcDiscountRate('basic', subtotal)).toBeCloseTo(expected, 4);</w:t>
      </w:r>
    </w:p>
    <w:p>
      <w:pPr>
        <w:pStyle w:val="ReportCode"/>
      </w:pPr>
      <w:r>
        <w:t xml:space="preserve">  });</w:t>
      </w:r>
    </w:p>
    <w:p>
      <w:pPr>
        <w:pStyle w:val="ReportCode"/>
      </w:pPr>
      <w:r>
        <w:t xml:space="preserve">  it.each([</w:t>
      </w:r>
    </w:p>
    <w:p>
      <w:pPr>
        <w:pStyle w:val="ReportCode"/>
      </w:pPr>
      <w:r>
        <w:t xml:space="preserve">    [0, 0.1],</w:t>
      </w:r>
    </w:p>
    <w:p>
      <w:pPr>
        <w:pStyle w:val="ReportCode"/>
      </w:pPr>
      <w:r>
        <w:t xml:space="preserve">    [0.14, 0.24],</w:t>
      </w:r>
    </w:p>
    <w:p>
      <w:pPr>
        <w:pStyle w:val="ReportCode"/>
      </w:pPr>
      <w:r>
        <w:t xml:space="preserve">    [0.15, 0.25],</w:t>
      </w:r>
    </w:p>
    <w:p>
      <w:pPr>
        <w:pStyle w:val="ReportCode"/>
      </w:pPr>
      <w:r>
        <w:t xml:space="preserve">    [0.2, 0.25],</w:t>
      </w:r>
    </w:p>
    <w:p>
      <w:pPr>
        <w:pStyle w:val="ReportCode"/>
      </w:pPr>
      <w:r>
        <w:t xml:space="preserve">  ])('промокод %s обмежує підсумкову ставку до %s', (promo, expected) =&gt; {</w:t>
      </w:r>
    </w:p>
    <w:p>
      <w:pPr>
        <w:pStyle w:val="ReportCode"/>
      </w:pPr>
      <w:r>
        <w:t xml:space="preserve">    expect(calcDiscountRate('gold', 500, promo)).toBeCloseTo(expected, 4);</w:t>
      </w:r>
    </w:p>
    <w:p>
      <w:pPr>
        <w:pStyle w:val="ReportCode"/>
      </w:pPr>
      <w:r>
        <w:t xml:space="preserve">  });</w:t>
      </w:r>
    </w:p>
    <w:p>
      <w:pPr>
        <w:pStyle w:val="ReportCode"/>
      </w:pPr>
      <w:r>
        <w:t xml:space="preserve">  it('обмежує сумарну знижку разом із бонусом великого замовлення', () =&gt; {</w:t>
      </w:r>
    </w:p>
    <w:p>
      <w:pPr>
        <w:pStyle w:val="ReportCode"/>
      </w:pPr>
      <w:r>
        <w:t xml:space="preserve">    expect(calcDiscountRate('gold', 2000, 0.5)).toBeCloseTo(0.25, 4);</w:t>
      </w:r>
    </w:p>
    <w:p>
      <w:pPr>
        <w:pStyle w:val="ReportCode"/>
      </w:pPr>
      <w:r>
        <w:t xml:space="preserve">  });</w:t>
      </w:r>
    </w:p>
    <w:p>
      <w:pPr>
        <w:pStyle w:val="ReportCode"/>
      </w:pPr>
      <w:r>
        <w:t xml:space="preserve">  it.each([-0.01, -0.1])('відхиляє від’ємний промокод %s', (promo) =&gt; {</w:t>
      </w:r>
    </w:p>
    <w:p>
      <w:pPr>
        <w:pStyle w:val="ReportCode"/>
      </w:pPr>
      <w:r>
        <w:t xml:space="preserve">    expect(() =&gt; calcDiscountRate('basic', 500, promo)).toThrow(</w:t>
      </w:r>
    </w:p>
    <w:p>
      <w:pPr>
        <w:pStyle w:val="ReportCode"/>
      </w:pPr>
      <w:r>
        <w:t xml:space="preserve">      'INVALID_PROMO',</w:t>
      </w:r>
    </w:p>
    <w:p>
      <w:pPr>
        <w:pStyle w:val="ReportCode"/>
      </w:pPr>
      <w:r>
        <w:t xml:space="preserve">    );</w:t>
      </w:r>
    </w:p>
    <w:p>
      <w:pPr>
        <w:pStyle w:val="ReportCode"/>
      </w:pPr>
      <w:r>
        <w:t xml:space="preserve">  });</w:t>
      </w:r>
    </w:p>
    <w:p>
      <w:pPr>
        <w:pStyle w:val="ReportCode"/>
      </w:pPr>
      <w:r>
        <w:t>});</w:t>
      </w:r>
    </w:p>
    <w:p>
      <w:pPr>
        <w:pStyle w:val="ReportCode"/>
      </w:pPr>
      <w:r>
        <w:t>describe('calcShipping', () =&gt; {</w:t>
      </w:r>
    </w:p>
    <w:p>
      <w:pPr>
        <w:pStyle w:val="ReportCode"/>
      </w:pPr>
      <w:r>
        <w:t xml:space="preserve">  it.each([</w:t>
      </w:r>
    </w:p>
    <w:p>
      <w:pPr>
        <w:pStyle w:val="ReportCode"/>
      </w:pPr>
      <w:r>
        <w:t xml:space="preserve">    [0, 60],</w:t>
      </w:r>
    </w:p>
    <w:p>
      <w:pPr>
        <w:pStyle w:val="ReportCode"/>
      </w:pPr>
      <w:r>
        <w:t xml:space="preserve">    [999, 60],</w:t>
      </w:r>
    </w:p>
    <w:p>
      <w:pPr>
        <w:pStyle w:val="ReportCode"/>
      </w:pPr>
      <w:r>
        <w:t xml:space="preserve">    [999.99, 60],</w:t>
      </w:r>
    </w:p>
    <w:p>
      <w:pPr>
        <w:pStyle w:val="ReportCode"/>
      </w:pPr>
      <w:r>
        <w:t xml:space="preserve">    [1000, 0],</w:t>
      </w:r>
    </w:p>
    <w:p>
      <w:pPr>
        <w:pStyle w:val="ReportCode"/>
      </w:pPr>
      <w:r>
        <w:t xml:space="preserve">    [1000.01, 0],</w:t>
      </w:r>
    </w:p>
    <w:p>
      <w:pPr>
        <w:pStyle w:val="ReportCode"/>
      </w:pPr>
      <w:r>
        <w:t xml:space="preserve">    [1001, 0],</w:t>
      </w:r>
    </w:p>
    <w:p>
      <w:pPr>
        <w:pStyle w:val="ReportCode"/>
      </w:pPr>
      <w:r>
        <w:t xml:space="preserve">  ])('сума %s визначає доставку %s', (amount, expected) =&gt; {</w:t>
      </w:r>
    </w:p>
    <w:p>
      <w:pPr>
        <w:pStyle w:val="ReportCode"/>
      </w:pPr>
      <w:r>
        <w:t xml:space="preserve">    expect(calcShipping(amount)).toBe(expected);</w:t>
      </w:r>
    </w:p>
    <w:p>
      <w:pPr>
        <w:pStyle w:val="ReportCode"/>
      </w:pPr>
      <w:r>
        <w:t xml:space="preserve">  });</w:t>
      </w:r>
    </w:p>
    <w:p>
      <w:pPr>
        <w:pStyle w:val="ReportCode"/>
      </w:pPr>
      <w:r>
        <w:t>});</w:t>
      </w:r>
    </w:p>
    <w:p>
      <w:pPr>
        <w:pStyle w:val="ReportCode"/>
      </w:pPr>
      <w:r>
        <w:t>describe('calcOrderTotal', () =&gt; {</w:t>
      </w:r>
    </w:p>
    <w:p>
      <w:pPr>
        <w:pStyle w:val="ReportCode"/>
      </w:pPr>
      <w:r>
        <w:t xml:space="preserve">  it.each&lt;[number, Tier, number, number]&gt;([</w:t>
      </w:r>
    </w:p>
    <w:p>
      <w:pPr>
        <w:pStyle w:val="ReportCode"/>
      </w:pPr>
      <w:r>
        <w:t xml:space="preserve">    [500, 'basic', 0, 560],</w:t>
      </w:r>
    </w:p>
    <w:p>
      <w:pPr>
        <w:pStyle w:val="ReportCode"/>
      </w:pPr>
      <w:r>
        <w:t xml:space="preserve">    [1200, 'gold', 0, 1080],</w:t>
      </w:r>
    </w:p>
    <w:p>
      <w:pPr>
        <w:pStyle w:val="ReportCode"/>
      </w:pPr>
      <w:r>
        <w:t xml:space="preserve">    [1050, 'gold', 0, 1005],</w:t>
      </w:r>
    </w:p>
    <w:p>
      <w:pPr>
        <w:pStyle w:val="ReportCode"/>
      </w:pPr>
      <w:r>
        <w:t xml:space="preserve">    [100, 'silver', 0, 155],</w:t>
      </w:r>
    </w:p>
    <w:p>
      <w:pPr>
        <w:pStyle w:val="ReportCode"/>
      </w:pPr>
      <w:r>
        <w:t xml:space="preserve">    [0, 'basic', 0, 60],</w:t>
      </w:r>
    </w:p>
    <w:p>
      <w:pPr>
        <w:pStyle w:val="ReportCode"/>
      </w:pPr>
      <w:r>
        <w:t xml:space="preserve">    [2000, 'gold', 0.5, 1500],</w:t>
      </w:r>
    </w:p>
    <w:p>
      <w:pPr>
        <w:pStyle w:val="ReportCode"/>
      </w:pPr>
      <w:r>
        <w:t xml:space="preserve">    [1250, 'basic', 0.2, 1000],</w:t>
      </w:r>
    </w:p>
    <w:p>
      <w:pPr>
        <w:pStyle w:val="ReportCode"/>
      </w:pPr>
      <w:r>
        <w:t xml:space="preserve">    [1249.99, 'basic', 0.2, 1059.99],</w:t>
      </w:r>
    </w:p>
    <w:p>
      <w:pPr>
        <w:pStyle w:val="ReportCode"/>
      </w:pPr>
      <w:r>
        <w:t xml:space="preserve">    [1250.01, 'basic', 0.2, 1000.01],</w:t>
      </w:r>
    </w:p>
    <w:p>
      <w:pPr>
        <w:pStyle w:val="ReportCode"/>
      </w:pPr>
      <w:r>
        <w:t xml:space="preserve">    [0.01, 'silver', 0, 60.01],</w:t>
      </w:r>
    </w:p>
    <w:p>
      <w:pPr>
        <w:pStyle w:val="ReportCode"/>
      </w:pPr>
      <w:r>
        <w:t xml:space="preserve">  ])(</w:t>
      </w:r>
    </w:p>
    <w:p>
      <w:pPr>
        <w:pStyle w:val="ReportCode"/>
      </w:pPr>
      <w:r>
        <w:t xml:space="preserve">    'сума %s, рівень %s, промокод %s дають підсумок %s',</w:t>
      </w:r>
    </w:p>
    <w:p>
      <w:pPr>
        <w:pStyle w:val="ReportCode"/>
      </w:pPr>
      <w:r>
        <w:t xml:space="preserve">    (price, tier, promo, expected) =&gt; {</w:t>
      </w:r>
    </w:p>
    <w:p>
      <w:pPr>
        <w:pStyle w:val="ReportCode"/>
      </w:pPr>
      <w:r>
        <w:t xml:space="preserve">      expect(calcOrderTotal([item(price)], tier, promo)).toBeCloseTo(</w:t>
      </w:r>
    </w:p>
    <w:p>
      <w:pPr>
        <w:pStyle w:val="ReportCode"/>
      </w:pPr>
      <w:r>
        <w:t xml:space="preserve">        expected,</w:t>
      </w:r>
    </w:p>
    <w:p>
      <w:pPr>
        <w:pStyle w:val="ReportCode"/>
      </w:pPr>
      <w:r>
        <w:t xml:space="preserve">        2,</w:t>
      </w:r>
    </w:p>
    <w:p>
      <w:pPr>
        <w:pStyle w:val="ReportCode"/>
      </w:pPr>
      <w:r>
        <w:t xml:space="preserve">      );</w:t>
      </w:r>
    </w:p>
    <w:p>
      <w:pPr>
        <w:pStyle w:val="ReportCode"/>
      </w:pPr>
      <w:r>
        <w:t xml:space="preserve">    },</w:t>
      </w:r>
    </w:p>
    <w:p>
      <w:pPr>
        <w:pStyle w:val="ReportCode"/>
      </w:pPr>
      <w:r>
        <w:t xml:space="preserve">  );</w:t>
      </w:r>
    </w:p>
    <w:p>
      <w:pPr>
        <w:pStyle w:val="ReportCode"/>
      </w:pPr>
      <w:r>
        <w:t xml:space="preserve">  it('використовує нульовий промокод за замовчуванням', () =&gt; {</w:t>
      </w:r>
    </w:p>
    <w:p>
      <w:pPr>
        <w:pStyle w:val="ReportCode"/>
      </w:pPr>
      <w:r>
        <w:t xml:space="preserve">    expect(calcOrderTotal([item(500)], 'basic')).toBeCloseTo(560, 2);</w:t>
      </w:r>
    </w:p>
    <w:p>
      <w:pPr>
        <w:pStyle w:val="ReportCode"/>
      </w:pPr>
      <w:r>
        <w:t xml:space="preserve">  });</w:t>
      </w:r>
    </w:p>
    <w:p>
      <w:pPr>
        <w:pStyle w:val="ReportCode"/>
      </w:pPr>
      <w:r>
        <w:t xml:space="preserve">  it('враховує кілька позицій та їх кількість', () =&gt; {</w:t>
      </w:r>
    </w:p>
    <w:p>
      <w:pPr>
        <w:pStyle w:val="ReportCode"/>
      </w:pPr>
      <w:r>
        <w:t xml:space="preserve">    expect(calcOrderTotal([item(100, 2), item(50, 3)], 'silver')).toBeCloseTo(</w:t>
      </w:r>
    </w:p>
    <w:p>
      <w:pPr>
        <w:pStyle w:val="ReportCode"/>
      </w:pPr>
      <w:r>
        <w:t xml:space="preserve">      392.5,</w:t>
      </w:r>
    </w:p>
    <w:p>
      <w:pPr>
        <w:pStyle w:val="ReportCode"/>
      </w:pPr>
      <w:r>
        <w:t xml:space="preserve">      2,</w:t>
      </w:r>
    </w:p>
    <w:p>
      <w:pPr>
        <w:pStyle w:val="ReportCode"/>
      </w:pPr>
      <w:r>
        <w:t xml:space="preserve">    );</w:t>
      </w:r>
    </w:p>
    <w:p>
      <w:pPr>
        <w:pStyle w:val="ReportCode"/>
      </w:pPr>
      <w:r>
        <w:t xml:space="preserve">  });</w:t>
      </w:r>
    </w:p>
    <w:p>
      <w:pPr>
        <w:pStyle w:val="ReportCode"/>
      </w:pPr>
      <w:r>
        <w:t xml:space="preserve">  it.each&lt;[OrderItem[], number, string]&gt;([</w:t>
      </w:r>
    </w:p>
    <w:p>
      <w:pPr>
        <w:pStyle w:val="ReportCode"/>
      </w:pPr>
      <w:r>
        <w:t xml:space="preserve">    [[], 0, 'EMPTY_ORDER'],</w:t>
      </w:r>
    </w:p>
    <w:p>
      <w:pPr>
        <w:pStyle w:val="ReportCode"/>
      </w:pPr>
      <w:r>
        <w:t xml:space="preserve">    [[item(-0.01)], 0, 'NEGATIVE_PRICE'],</w:t>
      </w:r>
    </w:p>
    <w:p>
      <w:pPr>
        <w:pStyle w:val="ReportCode"/>
      </w:pPr>
      <w:r>
        <w:t xml:space="preserve">    [[item(100, 0)], 0, 'INVALID_QTY'],</w:t>
      </w:r>
    </w:p>
    <w:p>
      <w:pPr>
        <w:pStyle w:val="ReportCode"/>
      </w:pPr>
      <w:r>
        <w:t xml:space="preserve">    [[item(100)], -0.01, 'INVALID_PROMO'],</w:t>
      </w:r>
    </w:p>
    <w:p>
      <w:pPr>
        <w:pStyle w:val="ReportCode"/>
      </w:pPr>
      <w:r>
        <w:t xml:space="preserve">  ])('передає виняток %s %s %s', (items, promo, code) =&gt; {</w:t>
      </w:r>
    </w:p>
    <w:p>
      <w:pPr>
        <w:pStyle w:val="ReportCode"/>
      </w:pPr>
      <w:r>
        <w:t xml:space="preserve">    expect(() =&gt; calcOrderTotal(items, 'gold', promo)).toThrow(code);</w:t>
      </w:r>
    </w:p>
    <w:p>
      <w:pPr>
        <w:pStyle w:val="ReportCode"/>
      </w:pPr>
      <w:r>
        <w:t xml:space="preserve">  });</w:t>
      </w:r>
    </w:p>
    <w:p>
      <w:pPr>
        <w:pStyle w:val="ReportCode"/>
      </w:pPr>
      <w:r>
        <w:t>});</w:t>
      </w:r>
    </w:p>
    <w:p>
      <w:pPr>
        <w:pStyle w:val="ReportHeading"/>
      </w:pPr>
      <w:r>
        <w:t>4. Знімки екрана: результат прогону та таблиця покриття</w:t>
      </w:r>
    </w:p>
    <w:p>
      <w:pPr>
        <w:pStyle w:val="ReportBody"/>
      </w:pPr>
      <w:r>
        <w:t>Нижче наведено нові знімки реального PTY-термінала та згенерованого Vitest HTML-звіту після видалення тимчасового тесту. Термінальний вивід передавався до емулятора xterm без редагування змісту; знімки зроблено браузером автоматично. Первісні знімки з 91 тестом замінено, оскільки вони вже не відповідають завершеному модулю та фінальним 145 тестам.</w:t>
      </w:r>
    </w:p>
    <w:p>
      <w:pPr>
        <w:pStyle w:val="ReportCaption"/>
        <w:keepNext/>
        <w:spacing w:before="120"/>
      </w:pPr>
      <w:r>
        <w:drawing>
          <wp:inline xmlns:a="http://schemas.openxmlformats.org/drawingml/2006/main" xmlns:pic="http://schemas.openxmlformats.org/drawingml/2006/picture">
            <wp:extent cx="5940000" cy="1632209"/>
            <wp:docPr id="1" name="Picture 1" descr="Фінальний npm test: 145 успішних тестів, 4 файли"/>
            <wp:cNvGraphicFramePr>
              <a:graphicFrameLocks noChangeAspect="1"/>
            </wp:cNvGraphicFramePr>
            <a:graphic>
              <a:graphicData uri="http://schemas.openxmlformats.org/drawingml/2006/picture">
                <pic:pic>
                  <pic:nvPicPr>
                    <pic:cNvPr id="0" name="tests.png"/>
                    <pic:cNvPicPr/>
                  </pic:nvPicPr>
                  <pic:blipFill>
                    <a:blip r:embed="rId10"/>
                    <a:stretch>
                      <a:fillRect/>
                    </a:stretch>
                  </pic:blipFill>
                  <pic:spPr>
                    <a:xfrm>
                      <a:off x="0" y="0"/>
                      <a:ext cx="5940000" cy="1632209"/>
                    </a:xfrm>
                    <a:prstGeom prst="rect"/>
                  </pic:spPr>
                </pic:pic>
              </a:graphicData>
            </a:graphic>
          </wp:inline>
        </w:drawing>
      </w:r>
    </w:p>
    <w:p>
      <w:pPr>
        <w:pStyle w:val="ReportCaption"/>
      </w:pPr>
      <w:r>
        <w:t>Рисунок 1 — Фінальний npm test: 145 успішних тестів, 4 файли</w:t>
      </w:r>
    </w:p>
    <w:p>
      <w:pPr>
        <w:pStyle w:val="ReportBody"/>
      </w:pPr>
      <w:r>
        <w:t>Збережено всі 79 тестів calcInstallment та 12 тестів попередньої лабораторної роботи: 8 для calculateAverage і 4 для celsiusToFahrenheit. Додано 54 тести показового прикладу. Підсумок узгоджується з кількістю 145 у журналі запуску.</w:t>
      </w:r>
    </w:p>
    <w:p>
      <w:pPr>
        <w:pStyle w:val="ReportCaption"/>
        <w:keepNext/>
      </w:pPr>
      <w:r>
        <w:t>Таблиця 2 — Фінальне покриття коду V8</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1928"/>
        <w:gridCol w:w="1843"/>
        <w:gridCol w:w="1843"/>
        <w:gridCol w:w="1871"/>
        <w:gridCol w:w="1871"/>
      </w:tblGrid>
      <w:tr>
        <w:trPr>
          <w:cantSplit/>
          <w:tblHeader/>
        </w:trPr>
        <w:tc>
          <w:tcPr>
            <w:tcW w:type="dxa" w:w="1928"/>
            <w:vAlign w:val="center"/>
            <w:tcMar>
              <w:top w:w="70" w:type="dxa"/>
              <w:bottom w:w="70" w:type="dxa"/>
              <w:left w:w="70" w:type="dxa"/>
              <w:right w:w="70" w:type="dxa"/>
            </w:tcMar>
          </w:tcPr>
          <w:p>
            <w:pPr>
              <w:pStyle w:val="ReportCell"/>
              <w:keepNext/>
            </w:pPr>
            <w:r>
              <w:rPr>
                <w:b/>
              </w:rPr>
              <w:t>Об’єкт</w:t>
            </w:r>
          </w:p>
        </w:tc>
        <w:tc>
          <w:tcPr>
            <w:tcW w:type="dxa" w:w="1843"/>
            <w:vAlign w:val="center"/>
            <w:tcMar>
              <w:top w:w="70" w:type="dxa"/>
              <w:bottom w:w="70" w:type="dxa"/>
              <w:left w:w="70" w:type="dxa"/>
              <w:right w:w="70" w:type="dxa"/>
            </w:tcMar>
          </w:tcPr>
          <w:p>
            <w:pPr>
              <w:pStyle w:val="ReportCell"/>
              <w:keepNext/>
            </w:pPr>
            <w:r>
              <w:rPr>
                <w:b/>
              </w:rPr>
              <w:t>Statements</w:t>
            </w:r>
          </w:p>
        </w:tc>
        <w:tc>
          <w:tcPr>
            <w:tcW w:type="dxa" w:w="1843"/>
            <w:vAlign w:val="center"/>
            <w:tcMar>
              <w:top w:w="70" w:type="dxa"/>
              <w:bottom w:w="70" w:type="dxa"/>
              <w:left w:w="70" w:type="dxa"/>
              <w:right w:w="70" w:type="dxa"/>
            </w:tcMar>
          </w:tcPr>
          <w:p>
            <w:pPr>
              <w:pStyle w:val="ReportCell"/>
              <w:keepNext/>
            </w:pPr>
            <w:r>
              <w:rPr>
                <w:b/>
              </w:rPr>
              <w:t>Branches</w:t>
            </w:r>
          </w:p>
        </w:tc>
        <w:tc>
          <w:tcPr>
            <w:tcW w:type="dxa" w:w="1871"/>
            <w:vAlign w:val="center"/>
            <w:tcMar>
              <w:top w:w="70" w:type="dxa"/>
              <w:bottom w:w="70" w:type="dxa"/>
              <w:left w:w="70" w:type="dxa"/>
              <w:right w:w="70" w:type="dxa"/>
            </w:tcMar>
          </w:tcPr>
          <w:p>
            <w:pPr>
              <w:pStyle w:val="ReportCell"/>
              <w:keepNext/>
            </w:pPr>
            <w:r>
              <w:rPr>
                <w:b/>
              </w:rPr>
              <w:t>Functions</w:t>
            </w:r>
          </w:p>
        </w:tc>
        <w:tc>
          <w:tcPr>
            <w:tcW w:type="dxa" w:w="1871"/>
            <w:vAlign w:val="center"/>
            <w:tcMar>
              <w:top w:w="70" w:type="dxa"/>
              <w:bottom w:w="70" w:type="dxa"/>
              <w:left w:w="70" w:type="dxa"/>
              <w:right w:w="70" w:type="dxa"/>
            </w:tcMar>
          </w:tcPr>
          <w:p>
            <w:pPr>
              <w:pStyle w:val="ReportCell"/>
              <w:keepNext/>
            </w:pPr>
            <w:r>
              <w:rPr>
                <w:b/>
              </w:rPr>
              <w:t>Lines</w:t>
            </w:r>
          </w:p>
        </w:tc>
      </w:tr>
      <w:tr>
        <w:trPr>
          <w:cantSplit/>
        </w:trPr>
        <w:tc>
          <w:tcPr>
            <w:tcW w:type="dxa" w:w="1928"/>
            <w:vAlign w:val="center"/>
            <w:tcMar>
              <w:top w:w="70" w:type="dxa"/>
              <w:bottom w:w="70" w:type="dxa"/>
              <w:left w:w="70" w:type="dxa"/>
              <w:right w:w="70" w:type="dxa"/>
            </w:tcMar>
          </w:tcPr>
          <w:p>
            <w:pPr>
              <w:pStyle w:val="ReportCell"/>
            </w:pPr>
            <w:r>
              <w:t>Увесь src</w:t>
            </w:r>
          </w:p>
        </w:tc>
        <w:tc>
          <w:tcPr>
            <w:tcW w:type="dxa" w:w="1843"/>
            <w:vAlign w:val="center"/>
            <w:tcMar>
              <w:top w:w="70" w:type="dxa"/>
              <w:bottom w:w="70" w:type="dxa"/>
              <w:left w:w="70" w:type="dxa"/>
              <w:right w:w="70" w:type="dxa"/>
            </w:tcMar>
          </w:tcPr>
          <w:p>
            <w:pPr>
              <w:pStyle w:val="ReportCell"/>
            </w:pPr>
            <w:r>
              <w:t>100 %</w:t>
              <w:br/>
              <w:t>62/62</w:t>
            </w:r>
          </w:p>
        </w:tc>
        <w:tc>
          <w:tcPr>
            <w:tcW w:type="dxa" w:w="1843"/>
            <w:vAlign w:val="center"/>
            <w:tcMar>
              <w:top w:w="70" w:type="dxa"/>
              <w:bottom w:w="70" w:type="dxa"/>
              <w:left w:w="70" w:type="dxa"/>
              <w:right w:w="70" w:type="dxa"/>
            </w:tcMar>
          </w:tcPr>
          <w:p>
            <w:pPr>
              <w:pStyle w:val="ReportCell"/>
            </w:pPr>
            <w:r>
              <w:t>100 %</w:t>
              <w:br/>
              <w:t>36/36</w:t>
            </w:r>
          </w:p>
        </w:tc>
        <w:tc>
          <w:tcPr>
            <w:tcW w:type="dxa" w:w="1871"/>
            <w:vAlign w:val="center"/>
            <w:tcMar>
              <w:top w:w="70" w:type="dxa"/>
              <w:bottom w:w="70" w:type="dxa"/>
              <w:left w:w="70" w:type="dxa"/>
              <w:right w:w="70" w:type="dxa"/>
            </w:tcMar>
          </w:tcPr>
          <w:p>
            <w:pPr>
              <w:pStyle w:val="ReportCell"/>
            </w:pPr>
            <w:r>
              <w:t>100 %</w:t>
              <w:br/>
              <w:t>12/12</w:t>
            </w:r>
          </w:p>
        </w:tc>
        <w:tc>
          <w:tcPr>
            <w:tcW w:type="dxa" w:w="1871"/>
            <w:vAlign w:val="center"/>
            <w:tcMar>
              <w:top w:w="70" w:type="dxa"/>
              <w:bottom w:w="70" w:type="dxa"/>
              <w:left w:w="70" w:type="dxa"/>
              <w:right w:w="70" w:type="dxa"/>
            </w:tcMar>
          </w:tcPr>
          <w:p>
            <w:pPr>
              <w:pStyle w:val="ReportCell"/>
            </w:pPr>
            <w:r>
              <w:t>100 %</w:t>
              <w:br/>
              <w:t>57/57</w:t>
            </w:r>
          </w:p>
        </w:tc>
      </w:tr>
      <w:tr>
        <w:trPr>
          <w:cantSplit/>
        </w:trPr>
        <w:tc>
          <w:tcPr>
            <w:tcW w:type="dxa" w:w="1928"/>
            <w:vAlign w:val="center"/>
            <w:tcMar>
              <w:top w:w="70" w:type="dxa"/>
              <w:bottom w:w="70" w:type="dxa"/>
              <w:left w:w="70" w:type="dxa"/>
              <w:right w:w="70" w:type="dxa"/>
            </w:tcMar>
          </w:tcPr>
          <w:p>
            <w:pPr>
              <w:pStyle w:val="ReportCell"/>
            </w:pPr>
            <w:r>
              <w:t>src/order.ts</w:t>
            </w:r>
          </w:p>
        </w:tc>
        <w:tc>
          <w:tcPr>
            <w:tcW w:type="dxa" w:w="1843"/>
            <w:vAlign w:val="center"/>
            <w:tcMar>
              <w:top w:w="70" w:type="dxa"/>
              <w:bottom w:w="70" w:type="dxa"/>
              <w:left w:w="70" w:type="dxa"/>
              <w:right w:w="70" w:type="dxa"/>
            </w:tcMar>
          </w:tcPr>
          <w:p>
            <w:pPr>
              <w:pStyle w:val="ReportCell"/>
            </w:pPr>
            <w:r>
              <w:t>100 %</w:t>
              <w:br/>
              <w:t>51/51</w:t>
            </w:r>
          </w:p>
        </w:tc>
        <w:tc>
          <w:tcPr>
            <w:tcW w:type="dxa" w:w="1843"/>
            <w:vAlign w:val="center"/>
            <w:tcMar>
              <w:top w:w="70" w:type="dxa"/>
              <w:bottom w:w="70" w:type="dxa"/>
              <w:left w:w="70" w:type="dxa"/>
              <w:right w:w="70" w:type="dxa"/>
            </w:tcMar>
          </w:tcPr>
          <w:p>
            <w:pPr>
              <w:pStyle w:val="ReportCell"/>
            </w:pPr>
            <w:r>
              <w:t>100 %</w:t>
              <w:br/>
              <w:t>28/28</w:t>
            </w:r>
          </w:p>
        </w:tc>
        <w:tc>
          <w:tcPr>
            <w:tcW w:type="dxa" w:w="1871"/>
            <w:vAlign w:val="center"/>
            <w:tcMar>
              <w:top w:w="70" w:type="dxa"/>
              <w:bottom w:w="70" w:type="dxa"/>
              <w:left w:w="70" w:type="dxa"/>
              <w:right w:w="70" w:type="dxa"/>
            </w:tcMar>
          </w:tcPr>
          <w:p>
            <w:pPr>
              <w:pStyle w:val="ReportCell"/>
            </w:pPr>
            <w:r>
              <w:t>100 %</w:t>
              <w:br/>
              <w:t>9/9</w:t>
            </w:r>
          </w:p>
        </w:tc>
        <w:tc>
          <w:tcPr>
            <w:tcW w:type="dxa" w:w="1871"/>
            <w:vAlign w:val="center"/>
            <w:tcMar>
              <w:top w:w="70" w:type="dxa"/>
              <w:bottom w:w="70" w:type="dxa"/>
              <w:left w:w="70" w:type="dxa"/>
              <w:right w:w="70" w:type="dxa"/>
            </w:tcMar>
          </w:tcPr>
          <w:p>
            <w:pPr>
              <w:pStyle w:val="ReportCell"/>
            </w:pPr>
            <w:r>
              <w:t>100 %</w:t>
              <w:br/>
              <w:t>47/47</w:t>
            </w:r>
          </w:p>
        </w:tc>
      </w:tr>
      <w:tr>
        <w:trPr>
          <w:cantSplit/>
        </w:trPr>
        <w:tc>
          <w:tcPr>
            <w:tcW w:type="dxa" w:w="1928"/>
            <w:vAlign w:val="center"/>
            <w:tcMar>
              <w:top w:w="70" w:type="dxa"/>
              <w:bottom w:w="70" w:type="dxa"/>
              <w:left w:w="70" w:type="dxa"/>
              <w:right w:w="70" w:type="dxa"/>
            </w:tcMar>
          </w:tcPr>
          <w:p>
            <w:pPr>
              <w:pStyle w:val="ReportCell"/>
            </w:pPr>
            <w:r>
              <w:t>calcInstallment</w:t>
            </w:r>
          </w:p>
        </w:tc>
        <w:tc>
          <w:tcPr>
            <w:tcW w:type="dxa" w:w="1843"/>
            <w:vAlign w:val="center"/>
            <w:tcMar>
              <w:top w:w="70" w:type="dxa"/>
              <w:bottom w:w="70" w:type="dxa"/>
              <w:left w:w="70" w:type="dxa"/>
              <w:right w:w="70" w:type="dxa"/>
            </w:tcMar>
          </w:tcPr>
          <w:p>
            <w:pPr>
              <w:pStyle w:val="ReportCell"/>
            </w:pPr>
            <w:r>
              <w:t>Окремо не обчислювали</w:t>
            </w:r>
          </w:p>
        </w:tc>
        <w:tc>
          <w:tcPr>
            <w:tcW w:type="dxa" w:w="1843"/>
            <w:vAlign w:val="center"/>
            <w:tcMar>
              <w:top w:w="70" w:type="dxa"/>
              <w:bottom w:w="70" w:type="dxa"/>
              <w:left w:w="70" w:type="dxa"/>
              <w:right w:w="70" w:type="dxa"/>
            </w:tcMar>
          </w:tcPr>
          <w:p>
            <w:pPr>
              <w:pStyle w:val="ReportCell"/>
            </w:pPr>
            <w:r>
              <w:t>100 %</w:t>
              <w:br/>
              <w:t>8/8</w:t>
            </w:r>
          </w:p>
        </w:tc>
        <w:tc>
          <w:tcPr>
            <w:tcW w:type="dxa" w:w="1871"/>
            <w:vAlign w:val="center"/>
            <w:tcMar>
              <w:top w:w="70" w:type="dxa"/>
              <w:bottom w:w="70" w:type="dxa"/>
              <w:left w:w="70" w:type="dxa"/>
              <w:right w:w="70" w:type="dxa"/>
            </w:tcMar>
          </w:tcPr>
          <w:p>
            <w:pPr>
              <w:pStyle w:val="ReportCell"/>
            </w:pPr>
            <w:r>
              <w:t>Викликана</w:t>
            </w:r>
          </w:p>
        </w:tc>
        <w:tc>
          <w:tcPr>
            <w:tcW w:type="dxa" w:w="1871"/>
            <w:vAlign w:val="center"/>
            <w:tcMar>
              <w:top w:w="70" w:type="dxa"/>
              <w:bottom w:w="70" w:type="dxa"/>
              <w:left w:w="70" w:type="dxa"/>
              <w:right w:w="70" w:type="dxa"/>
            </w:tcMar>
          </w:tcPr>
          <w:p>
            <w:pPr>
              <w:pStyle w:val="ReportCell"/>
            </w:pPr>
            <w:r>
              <w:t>Рядки виконані</w:t>
            </w:r>
          </w:p>
        </w:tc>
      </w:tr>
    </w:tbl>
    <w:p>
      <w:pPr>
        <w:pStyle w:val="ReportCaption"/>
        <w:keepNext/>
        <w:spacing w:before="120"/>
      </w:pPr>
      <w:r>
        <w:drawing>
          <wp:inline xmlns:a="http://schemas.openxmlformats.org/drawingml/2006/main" xmlns:pic="http://schemas.openxmlformats.org/drawingml/2006/picture">
            <wp:extent cx="5940000" cy="4359443"/>
            <wp:docPr id="2" name="Picture 2" descr="Фінальний npm run coverage та окрема перевірка варіанта 12"/>
            <wp:cNvGraphicFramePr>
              <a:graphicFrameLocks noChangeAspect="1"/>
            </wp:cNvGraphicFramePr>
            <a:graphic>
              <a:graphicData uri="http://schemas.openxmlformats.org/drawingml/2006/picture">
                <pic:pic>
                  <pic:nvPicPr>
                    <pic:cNvPr id="0" name="final.png"/>
                    <pic:cNvPicPr/>
                  </pic:nvPicPr>
                  <pic:blipFill>
                    <a:blip r:embed="rId11"/>
                    <a:stretch>
                      <a:fillRect/>
                    </a:stretch>
                  </pic:blipFill>
                  <pic:spPr>
                    <a:xfrm>
                      <a:off x="0" y="0"/>
                      <a:ext cx="5940000" cy="4359443"/>
                    </a:xfrm>
                    <a:prstGeom prst="rect"/>
                  </pic:spPr>
                </pic:pic>
              </a:graphicData>
            </a:graphic>
          </wp:inline>
        </w:drawing>
      </w:r>
    </w:p>
    <w:p>
      <w:pPr>
        <w:pStyle w:val="ReportCaption"/>
      </w:pPr>
      <w:r>
        <w:t>Рисунок 2 — Фінальний npm run coverage та окрема перевірка варіанта 12</w:t>
      </w:r>
    </w:p>
    <w:p>
      <w:pPr>
        <w:pStyle w:val="ReportCaption"/>
        <w:keepNext/>
        <w:spacing w:before="120"/>
      </w:pPr>
      <w:r>
        <w:drawing>
          <wp:inline xmlns:a="http://schemas.openxmlformats.org/drawingml/2006/main" xmlns:pic="http://schemas.openxmlformats.org/drawingml/2006/picture">
            <wp:extent cx="5940000" cy="1779417"/>
            <wp:docPr id="3" name="Picture 3" descr="HTML Coverage Report із підсумками всіх модулів"/>
            <wp:cNvGraphicFramePr>
              <a:graphicFrameLocks noChangeAspect="1"/>
            </wp:cNvGraphicFramePr>
            <a:graphic>
              <a:graphicData uri="http://schemas.openxmlformats.org/drawingml/2006/picture">
                <pic:pic>
                  <pic:nvPicPr>
                    <pic:cNvPr id="0" name="index.png"/>
                    <pic:cNvPicPr/>
                  </pic:nvPicPr>
                  <pic:blipFill>
                    <a:blip r:embed="rId12"/>
                    <a:srcRect b="47000"/>
                    <a:stretch>
                      <a:fillRect/>
                    </a:stretch>
                  </pic:blipFill>
                  <pic:spPr>
                    <a:xfrm>
                      <a:off x="0" y="0"/>
                      <a:ext cx="5940000" cy="1779417"/>
                    </a:xfrm>
                    <a:prstGeom prst="rect"/>
                  </pic:spPr>
                </pic:pic>
              </a:graphicData>
            </a:graphic>
          </wp:inline>
        </w:drawing>
      </w:r>
    </w:p>
    <w:p>
      <w:pPr>
        <w:pStyle w:val="ReportCaption"/>
      </w:pPr>
      <w:r>
        <w:t>Рисунок 3 — HTML Coverage Report із підсумками всіх модулів</w:t>
      </w:r>
    </w:p>
    <w:p>
      <w:pPr>
        <w:pStyle w:val="ReportCaption"/>
        <w:keepNext/>
        <w:spacing w:before="120"/>
      </w:pPr>
      <w:r>
        <w:drawing>
          <wp:inline xmlns:a="http://schemas.openxmlformats.org/drawingml/2006/main" xmlns:pic="http://schemas.openxmlformats.org/drawingml/2006/picture">
            <wp:extent cx="5940000" cy="3357391"/>
            <wp:docPr id="4" name="Picture 4" descr="Покриття src/order.ts у фінальному HTML-звіті"/>
            <wp:cNvGraphicFramePr>
              <a:graphicFrameLocks noChangeAspect="1"/>
            </wp:cNvGraphicFramePr>
            <a:graphic>
              <a:graphicData uri="http://schemas.openxmlformats.org/drawingml/2006/picture">
                <pic:pic>
                  <pic:nvPicPr>
                    <pic:cNvPr id="0" name="order-top.png"/>
                    <pic:cNvPicPr/>
                  </pic:nvPicPr>
                  <pic:blipFill>
                    <a:blip r:embed="rId13"/>
                    <a:stretch>
                      <a:fillRect/>
                    </a:stretch>
                  </pic:blipFill>
                  <pic:spPr>
                    <a:xfrm>
                      <a:off x="0" y="0"/>
                      <a:ext cx="5940000" cy="3357391"/>
                    </a:xfrm>
                    <a:prstGeom prst="rect"/>
                  </pic:spPr>
                </pic:pic>
              </a:graphicData>
            </a:graphic>
          </wp:inline>
        </w:drawing>
      </w:r>
    </w:p>
    <w:p>
      <w:pPr>
        <w:pStyle w:val="ReportCaption"/>
      </w:pPr>
      <w:r>
        <w:t>Рисунок 4 — Покриття src/order.ts у фінальному HTML-звіті</w:t>
      </w:r>
    </w:p>
    <w:p>
      <w:pPr>
        <w:pStyle w:val="ReportBody"/>
      </w:pPr>
      <w:r>
        <w:t>HTML-звіт показує дев’ять покритих функцій order.ts з урахуванням допоміжних функцій, конструктора та callback. Відсоток гілок індивідуальної функції обчислено окремо, тому загальне покриття модуля не підміняє перевірку вимоги варіанта.</w:t>
      </w:r>
    </w:p>
    <w:p>
      <w:pPr>
        <w:pStyle w:val="ReportCaption"/>
        <w:keepNext/>
        <w:spacing w:before="120"/>
      </w:pPr>
      <w:r>
        <w:drawing>
          <wp:inline xmlns:a="http://schemas.openxmlformats.org/drawingml/2006/main" xmlns:pic="http://schemas.openxmlformats.org/drawingml/2006/picture">
            <wp:extent cx="5940000" cy="3357391"/>
            <wp:docPr id="5" name="Picture 5" descr="Виконані рядки та лічильники calcInstallment у HTML-звіті"/>
            <wp:cNvGraphicFramePr>
              <a:graphicFrameLocks noChangeAspect="1"/>
            </wp:cNvGraphicFramePr>
            <a:graphic>
              <a:graphicData uri="http://schemas.openxmlformats.org/drawingml/2006/picture">
                <pic:pic>
                  <pic:nvPicPr>
                    <pic:cNvPr id="0" name="order-installment.png"/>
                    <pic:cNvPicPr/>
                  </pic:nvPicPr>
                  <pic:blipFill>
                    <a:blip r:embed="rId14"/>
                    <a:stretch>
                      <a:fillRect/>
                    </a:stretch>
                  </pic:blipFill>
                  <pic:spPr>
                    <a:xfrm>
                      <a:off x="0" y="0"/>
                      <a:ext cx="5940000" cy="3357391"/>
                    </a:xfrm>
                    <a:prstGeom prst="rect"/>
                  </pic:spPr>
                </pic:pic>
              </a:graphicData>
            </a:graphic>
          </wp:inline>
        </w:drawing>
      </w:r>
    </w:p>
    <w:p>
      <w:pPr>
        <w:pStyle w:val="ReportCaption"/>
      </w:pPr>
      <w:r>
        <w:t>Рисунок 5 — Виконані рядки та лічильники calcInstallment у HTML-звіті</w:t>
      </w:r>
    </w:p>
    <w:p>
      <w:pPr>
        <w:pStyle w:val="ReportCaption"/>
        <w:keepNext/>
        <w:spacing w:before="120"/>
      </w:pPr>
      <w:r>
        <w:drawing>
          <wp:inline xmlns:a="http://schemas.openxmlformats.org/drawingml/2006/main" xmlns:pic="http://schemas.openxmlformats.org/drawingml/2006/picture">
            <wp:extent cx="5940000" cy="1973113"/>
            <wp:docPr id="6" name="Picture 6" descr="Успішні ESLint, TypeScript і Prettier"/>
            <wp:cNvGraphicFramePr>
              <a:graphicFrameLocks noChangeAspect="1"/>
            </wp:cNvGraphicFramePr>
            <a:graphic>
              <a:graphicData uri="http://schemas.openxmlformats.org/drawingml/2006/picture">
                <pic:pic>
                  <pic:nvPicPr>
                    <pic:cNvPr id="0" name="checks.png"/>
                    <pic:cNvPicPr/>
                  </pic:nvPicPr>
                  <pic:blipFill>
                    <a:blip r:embed="rId15"/>
                    <a:stretch>
                      <a:fillRect/>
                    </a:stretch>
                  </pic:blipFill>
                  <pic:spPr>
                    <a:xfrm>
                      <a:off x="0" y="0"/>
                      <a:ext cx="5940000" cy="1973113"/>
                    </a:xfrm>
                    <a:prstGeom prst="rect"/>
                  </pic:spPr>
                </pic:pic>
              </a:graphicData>
            </a:graphic>
          </wp:inline>
        </w:drawing>
      </w:r>
    </w:p>
    <w:p>
      <w:pPr>
        <w:pStyle w:val="ReportCaption"/>
      </w:pPr>
      <w:r>
        <w:t>Рисунок 6 — Успішні ESLint, TypeScript і Prettier</w:t>
      </w:r>
    </w:p>
    <w:p>
      <w:pPr>
        <w:pStyle w:val="ReportBody"/>
      </w:pPr>
      <w:r>
        <w:t>Команди npm test, npm run coverage, npm run lint, npm run typecheck, npm run format:check та npm run coverage:installment завершилися з кодом 0. У coverage-конфігурації збережено пороги: Lines ≥ 80 %, Branches ≥ 80 %, Functions = 100 %. Окремий скрипт додатково вимагає Branches ≥ 90 % саме для calcInstallment.</w:t>
      </w:r>
    </w:p>
    <w:p>
      <w:pPr>
        <w:pStyle w:val="ReportHeading"/>
      </w:pPr>
      <w:r>
        <w:t>5. Результат експерименту з тестом без твердження та висновок щодо метрики покриття</w:t>
      </w:r>
    </w:p>
    <w:p>
      <w:pPr>
        <w:pStyle w:val="ReportBody"/>
      </w:pPr>
      <w:r>
        <w:t>Експеримент виконано саме для calcOrderTotal, як указано в кроці 6 методички. Спочатку виконано npm run coverage без додаткового тесту. Потім до tests/order-example.test.ts тимчасово додано наведений нижче блок, повторено ту саму команду й збережено обидва JSON-звіти та знімки термінала. Після цього блок видалено, файл відновлено, покриття та інші перевірки виконано повторно.</w:t>
      </w:r>
    </w:p>
    <w:p>
      <w:pPr>
        <w:pStyle w:val="ReportLabel"/>
      </w:pPr>
      <w:r>
        <w:t>Лістинг 2. Тимчасовий тест без твердження</w:t>
      </w:r>
    </w:p>
    <w:p>
      <w:pPr>
        <w:pStyle w:val="ReportCode"/>
      </w:pPr>
      <w:r>
        <w:t>it('виклик без перевірки результату', () =&gt; {</w:t>
      </w:r>
    </w:p>
    <w:p>
      <w:pPr>
        <w:pStyle w:val="ReportCode"/>
      </w:pPr>
      <w:r>
        <w:t xml:space="preserve">  calcOrderTotal([item(100)], 'silver');</w:t>
      </w:r>
    </w:p>
    <w:p>
      <w:pPr>
        <w:pStyle w:val="ReportCode"/>
      </w:pPr>
      <w:r>
        <w:t>});</w:t>
      </w:r>
    </w:p>
    <w:p>
      <w:pPr>
        <w:pStyle w:val="ReportCaption"/>
        <w:keepNext/>
      </w:pPr>
      <w:r>
        <w:t>Таблиця 3 — Порівняння експериментальних вимірювань для всього src</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041"/>
        <w:gridCol w:w="2438"/>
        <w:gridCol w:w="2438"/>
        <w:gridCol w:w="2438"/>
      </w:tblGrid>
      <w:tr>
        <w:trPr>
          <w:cantSplit/>
          <w:tblHeader/>
        </w:trPr>
        <w:tc>
          <w:tcPr>
            <w:tcW w:type="dxa" w:w="2041"/>
            <w:vAlign w:val="center"/>
            <w:tcMar>
              <w:top w:w="70" w:type="dxa"/>
              <w:bottom w:w="70" w:type="dxa"/>
              <w:left w:w="70" w:type="dxa"/>
              <w:right w:w="70" w:type="dxa"/>
            </w:tcMar>
          </w:tcPr>
          <w:p>
            <w:pPr>
              <w:pStyle w:val="ReportCell"/>
              <w:keepNext/>
            </w:pPr>
            <w:r>
              <w:rPr>
                <w:b/>
              </w:rPr>
              <w:t>Показник</w:t>
            </w:r>
          </w:p>
        </w:tc>
        <w:tc>
          <w:tcPr>
            <w:tcW w:type="dxa" w:w="2438"/>
            <w:vAlign w:val="center"/>
            <w:tcMar>
              <w:top w:w="70" w:type="dxa"/>
              <w:bottom w:w="70" w:type="dxa"/>
              <w:left w:w="70" w:type="dxa"/>
              <w:right w:w="70" w:type="dxa"/>
            </w:tcMar>
          </w:tcPr>
          <w:p>
            <w:pPr>
              <w:pStyle w:val="ReportCell"/>
              <w:keepNext/>
            </w:pPr>
            <w:r>
              <w:rPr>
                <w:b/>
              </w:rPr>
              <w:t>До тесту</w:t>
            </w:r>
          </w:p>
        </w:tc>
        <w:tc>
          <w:tcPr>
            <w:tcW w:type="dxa" w:w="2438"/>
            <w:vAlign w:val="center"/>
            <w:tcMar>
              <w:top w:w="70" w:type="dxa"/>
              <w:bottom w:w="70" w:type="dxa"/>
              <w:left w:w="70" w:type="dxa"/>
              <w:right w:w="70" w:type="dxa"/>
            </w:tcMar>
          </w:tcPr>
          <w:p>
            <w:pPr>
              <w:pStyle w:val="ReportCell"/>
              <w:keepNext/>
            </w:pPr>
            <w:r>
              <w:rPr>
                <w:b/>
              </w:rPr>
              <w:t>Після додавання</w:t>
            </w:r>
          </w:p>
        </w:tc>
        <w:tc>
          <w:tcPr>
            <w:tcW w:type="dxa" w:w="2438"/>
            <w:vAlign w:val="center"/>
            <w:tcMar>
              <w:top w:w="70" w:type="dxa"/>
              <w:bottom w:w="70" w:type="dxa"/>
              <w:left w:w="70" w:type="dxa"/>
              <w:right w:w="70" w:type="dxa"/>
            </w:tcMar>
          </w:tcPr>
          <w:p>
            <w:pPr>
              <w:pStyle w:val="ReportCell"/>
              <w:keepNext/>
            </w:pPr>
            <w:r>
              <w:rPr>
                <w:b/>
              </w:rPr>
              <w:t>Після видалення</w:t>
            </w:r>
          </w:p>
        </w:tc>
      </w:tr>
      <w:tr>
        <w:trPr>
          <w:cantSplit/>
        </w:trPr>
        <w:tc>
          <w:tcPr>
            <w:tcW w:type="dxa" w:w="2041"/>
            <w:vAlign w:val="center"/>
            <w:tcMar>
              <w:top w:w="70" w:type="dxa"/>
              <w:bottom w:w="70" w:type="dxa"/>
              <w:left w:w="70" w:type="dxa"/>
              <w:right w:w="70" w:type="dxa"/>
            </w:tcMar>
          </w:tcPr>
          <w:p>
            <w:pPr>
              <w:pStyle w:val="ReportCell"/>
            </w:pPr>
            <w:r>
              <w:t>Тести</w:t>
            </w:r>
          </w:p>
        </w:tc>
        <w:tc>
          <w:tcPr>
            <w:tcW w:type="dxa" w:w="2438"/>
            <w:vAlign w:val="center"/>
            <w:tcMar>
              <w:top w:w="70" w:type="dxa"/>
              <w:bottom w:w="70" w:type="dxa"/>
              <w:left w:w="70" w:type="dxa"/>
              <w:right w:w="70" w:type="dxa"/>
            </w:tcMar>
          </w:tcPr>
          <w:p>
            <w:pPr>
              <w:pStyle w:val="ReportCell"/>
            </w:pPr>
            <w:r>
              <w:t>145</w:t>
            </w:r>
          </w:p>
        </w:tc>
        <w:tc>
          <w:tcPr>
            <w:tcW w:type="dxa" w:w="2438"/>
            <w:vAlign w:val="center"/>
            <w:tcMar>
              <w:top w:w="70" w:type="dxa"/>
              <w:bottom w:w="70" w:type="dxa"/>
              <w:left w:w="70" w:type="dxa"/>
              <w:right w:w="70" w:type="dxa"/>
            </w:tcMar>
          </w:tcPr>
          <w:p>
            <w:pPr>
              <w:pStyle w:val="ReportCell"/>
            </w:pPr>
            <w:r>
              <w:t>146</w:t>
            </w:r>
          </w:p>
        </w:tc>
        <w:tc>
          <w:tcPr>
            <w:tcW w:type="dxa" w:w="2438"/>
            <w:vAlign w:val="center"/>
            <w:tcMar>
              <w:top w:w="70" w:type="dxa"/>
              <w:bottom w:w="70" w:type="dxa"/>
              <w:left w:w="70" w:type="dxa"/>
              <w:right w:w="70" w:type="dxa"/>
            </w:tcMar>
          </w:tcPr>
          <w:p>
            <w:pPr>
              <w:pStyle w:val="ReportCell"/>
            </w:pPr>
            <w:r>
              <w:t>145</w:t>
            </w:r>
          </w:p>
        </w:tc>
      </w:tr>
      <w:tr>
        <w:trPr>
          <w:cantSplit/>
        </w:trPr>
        <w:tc>
          <w:tcPr>
            <w:tcW w:type="dxa" w:w="2041"/>
            <w:vAlign w:val="center"/>
            <w:tcMar>
              <w:top w:w="70" w:type="dxa"/>
              <w:bottom w:w="70" w:type="dxa"/>
              <w:left w:w="70" w:type="dxa"/>
              <w:right w:w="70" w:type="dxa"/>
            </w:tcMar>
          </w:tcPr>
          <w:p>
            <w:pPr>
              <w:pStyle w:val="ReportCell"/>
            </w:pPr>
            <w:r>
              <w:t>Statements</w:t>
            </w:r>
          </w:p>
        </w:tc>
        <w:tc>
          <w:tcPr>
            <w:tcW w:type="dxa" w:w="2438"/>
            <w:vAlign w:val="center"/>
            <w:tcMar>
              <w:top w:w="70" w:type="dxa"/>
              <w:bottom w:w="70" w:type="dxa"/>
              <w:left w:w="70" w:type="dxa"/>
              <w:right w:w="70" w:type="dxa"/>
            </w:tcMar>
          </w:tcPr>
          <w:p>
            <w:pPr>
              <w:pStyle w:val="ReportCell"/>
            </w:pPr>
            <w:r>
              <w:t>100 % (62/62)</w:t>
            </w:r>
          </w:p>
        </w:tc>
        <w:tc>
          <w:tcPr>
            <w:tcW w:type="dxa" w:w="2438"/>
            <w:vAlign w:val="center"/>
            <w:tcMar>
              <w:top w:w="70" w:type="dxa"/>
              <w:bottom w:w="70" w:type="dxa"/>
              <w:left w:w="70" w:type="dxa"/>
              <w:right w:w="70" w:type="dxa"/>
            </w:tcMar>
          </w:tcPr>
          <w:p>
            <w:pPr>
              <w:pStyle w:val="ReportCell"/>
            </w:pPr>
            <w:r>
              <w:t>100 % (62/62)</w:t>
            </w:r>
          </w:p>
        </w:tc>
        <w:tc>
          <w:tcPr>
            <w:tcW w:type="dxa" w:w="2438"/>
            <w:vAlign w:val="center"/>
            <w:tcMar>
              <w:top w:w="70" w:type="dxa"/>
              <w:bottom w:w="70" w:type="dxa"/>
              <w:left w:w="70" w:type="dxa"/>
              <w:right w:w="70" w:type="dxa"/>
            </w:tcMar>
          </w:tcPr>
          <w:p>
            <w:pPr>
              <w:pStyle w:val="ReportCell"/>
            </w:pPr>
            <w:r>
              <w:t>100 % (62/62)</w:t>
            </w:r>
          </w:p>
        </w:tc>
      </w:tr>
      <w:tr>
        <w:trPr>
          <w:cantSplit/>
        </w:trPr>
        <w:tc>
          <w:tcPr>
            <w:tcW w:type="dxa" w:w="2041"/>
            <w:vAlign w:val="center"/>
            <w:tcMar>
              <w:top w:w="70" w:type="dxa"/>
              <w:bottom w:w="70" w:type="dxa"/>
              <w:left w:w="70" w:type="dxa"/>
              <w:right w:w="70" w:type="dxa"/>
            </w:tcMar>
          </w:tcPr>
          <w:p>
            <w:pPr>
              <w:pStyle w:val="ReportCell"/>
            </w:pPr>
            <w:r>
              <w:t>Branches</w:t>
            </w:r>
          </w:p>
        </w:tc>
        <w:tc>
          <w:tcPr>
            <w:tcW w:type="dxa" w:w="2438"/>
            <w:vAlign w:val="center"/>
            <w:tcMar>
              <w:top w:w="70" w:type="dxa"/>
              <w:bottom w:w="70" w:type="dxa"/>
              <w:left w:w="70" w:type="dxa"/>
              <w:right w:w="70" w:type="dxa"/>
            </w:tcMar>
          </w:tcPr>
          <w:p>
            <w:pPr>
              <w:pStyle w:val="ReportCell"/>
            </w:pPr>
            <w:r>
              <w:t>100 % (36/36)</w:t>
            </w:r>
          </w:p>
        </w:tc>
        <w:tc>
          <w:tcPr>
            <w:tcW w:type="dxa" w:w="2438"/>
            <w:vAlign w:val="center"/>
            <w:tcMar>
              <w:top w:w="70" w:type="dxa"/>
              <w:bottom w:w="70" w:type="dxa"/>
              <w:left w:w="70" w:type="dxa"/>
              <w:right w:w="70" w:type="dxa"/>
            </w:tcMar>
          </w:tcPr>
          <w:p>
            <w:pPr>
              <w:pStyle w:val="ReportCell"/>
            </w:pPr>
            <w:r>
              <w:t>100 % (36/36)</w:t>
            </w:r>
          </w:p>
        </w:tc>
        <w:tc>
          <w:tcPr>
            <w:tcW w:type="dxa" w:w="2438"/>
            <w:vAlign w:val="center"/>
            <w:tcMar>
              <w:top w:w="70" w:type="dxa"/>
              <w:bottom w:w="70" w:type="dxa"/>
              <w:left w:w="70" w:type="dxa"/>
              <w:right w:w="70" w:type="dxa"/>
            </w:tcMar>
          </w:tcPr>
          <w:p>
            <w:pPr>
              <w:pStyle w:val="ReportCell"/>
            </w:pPr>
            <w:r>
              <w:t>100 % (36/36)</w:t>
            </w:r>
          </w:p>
        </w:tc>
      </w:tr>
      <w:tr>
        <w:trPr>
          <w:cantSplit/>
        </w:trPr>
        <w:tc>
          <w:tcPr>
            <w:tcW w:type="dxa" w:w="2041"/>
            <w:vAlign w:val="center"/>
            <w:tcMar>
              <w:top w:w="70" w:type="dxa"/>
              <w:bottom w:w="70" w:type="dxa"/>
              <w:left w:w="70" w:type="dxa"/>
              <w:right w:w="70" w:type="dxa"/>
            </w:tcMar>
          </w:tcPr>
          <w:p>
            <w:pPr>
              <w:pStyle w:val="ReportCell"/>
            </w:pPr>
            <w:r>
              <w:t>Functions</w:t>
            </w:r>
          </w:p>
        </w:tc>
        <w:tc>
          <w:tcPr>
            <w:tcW w:type="dxa" w:w="2438"/>
            <w:vAlign w:val="center"/>
            <w:tcMar>
              <w:top w:w="70" w:type="dxa"/>
              <w:bottom w:w="70" w:type="dxa"/>
              <w:left w:w="70" w:type="dxa"/>
              <w:right w:w="70" w:type="dxa"/>
            </w:tcMar>
          </w:tcPr>
          <w:p>
            <w:pPr>
              <w:pStyle w:val="ReportCell"/>
            </w:pPr>
            <w:r>
              <w:t>100 % (12/12)</w:t>
            </w:r>
          </w:p>
        </w:tc>
        <w:tc>
          <w:tcPr>
            <w:tcW w:type="dxa" w:w="2438"/>
            <w:vAlign w:val="center"/>
            <w:tcMar>
              <w:top w:w="70" w:type="dxa"/>
              <w:bottom w:w="70" w:type="dxa"/>
              <w:left w:w="70" w:type="dxa"/>
              <w:right w:w="70" w:type="dxa"/>
            </w:tcMar>
          </w:tcPr>
          <w:p>
            <w:pPr>
              <w:pStyle w:val="ReportCell"/>
            </w:pPr>
            <w:r>
              <w:t>100 % (12/12)</w:t>
            </w:r>
          </w:p>
        </w:tc>
        <w:tc>
          <w:tcPr>
            <w:tcW w:type="dxa" w:w="2438"/>
            <w:vAlign w:val="center"/>
            <w:tcMar>
              <w:top w:w="70" w:type="dxa"/>
              <w:bottom w:w="70" w:type="dxa"/>
              <w:left w:w="70" w:type="dxa"/>
              <w:right w:w="70" w:type="dxa"/>
            </w:tcMar>
          </w:tcPr>
          <w:p>
            <w:pPr>
              <w:pStyle w:val="ReportCell"/>
            </w:pPr>
            <w:r>
              <w:t>100 % (12/12)</w:t>
            </w:r>
          </w:p>
        </w:tc>
      </w:tr>
      <w:tr>
        <w:trPr>
          <w:cantSplit/>
        </w:trPr>
        <w:tc>
          <w:tcPr>
            <w:tcW w:type="dxa" w:w="2041"/>
            <w:vAlign w:val="center"/>
            <w:tcMar>
              <w:top w:w="70" w:type="dxa"/>
              <w:bottom w:w="70" w:type="dxa"/>
              <w:left w:w="70" w:type="dxa"/>
              <w:right w:w="70" w:type="dxa"/>
            </w:tcMar>
          </w:tcPr>
          <w:p>
            <w:pPr>
              <w:pStyle w:val="ReportCell"/>
            </w:pPr>
            <w:r>
              <w:t>Lines</w:t>
            </w:r>
          </w:p>
        </w:tc>
        <w:tc>
          <w:tcPr>
            <w:tcW w:type="dxa" w:w="2438"/>
            <w:vAlign w:val="center"/>
            <w:tcMar>
              <w:top w:w="70" w:type="dxa"/>
              <w:bottom w:w="70" w:type="dxa"/>
              <w:left w:w="70" w:type="dxa"/>
              <w:right w:w="70" w:type="dxa"/>
            </w:tcMar>
          </w:tcPr>
          <w:p>
            <w:pPr>
              <w:pStyle w:val="ReportCell"/>
            </w:pPr>
            <w:r>
              <w:t>100 % (57/57)</w:t>
            </w:r>
          </w:p>
        </w:tc>
        <w:tc>
          <w:tcPr>
            <w:tcW w:type="dxa" w:w="2438"/>
            <w:vAlign w:val="center"/>
            <w:tcMar>
              <w:top w:w="70" w:type="dxa"/>
              <w:bottom w:w="70" w:type="dxa"/>
              <w:left w:w="70" w:type="dxa"/>
              <w:right w:w="70" w:type="dxa"/>
            </w:tcMar>
          </w:tcPr>
          <w:p>
            <w:pPr>
              <w:pStyle w:val="ReportCell"/>
            </w:pPr>
            <w:r>
              <w:t>100 % (57/57)</w:t>
            </w:r>
          </w:p>
        </w:tc>
        <w:tc>
          <w:tcPr>
            <w:tcW w:type="dxa" w:w="2438"/>
            <w:vAlign w:val="center"/>
            <w:tcMar>
              <w:top w:w="70" w:type="dxa"/>
              <w:bottom w:w="70" w:type="dxa"/>
              <w:left w:w="70" w:type="dxa"/>
              <w:right w:w="70" w:type="dxa"/>
            </w:tcMar>
          </w:tcPr>
          <w:p>
            <w:pPr>
              <w:pStyle w:val="ReportCell"/>
            </w:pPr>
            <w:r>
              <w:t>100 % (57/57)</w:t>
            </w:r>
          </w:p>
        </w:tc>
      </w:tr>
    </w:tbl>
    <w:p>
      <w:pPr>
        <w:pStyle w:val="ReportBody"/>
      </w:pPr>
      <w:r>
        <w:t>Зміна кожної з чотирьох метрик становить 0 відсоткових пунктів. Модуль order.ts також залишився на 100 %: Statements 51/51, Branches 28/28, Functions 9/9, Lines 47/47. Додавання тесту не відкрило нових шляхів виконання, оскільки ці шляхи вже були покриті тестами з перевірками.</w:t>
      </w:r>
    </w:p>
    <w:p>
      <w:pPr>
        <w:pStyle w:val="ReportCaption"/>
        <w:keepNext/>
        <w:spacing w:before="120"/>
      </w:pPr>
      <w:r>
        <w:drawing>
          <wp:inline xmlns:a="http://schemas.openxmlformats.org/drawingml/2006/main" xmlns:pic="http://schemas.openxmlformats.org/drawingml/2006/picture">
            <wp:extent cx="5940000" cy="2833637"/>
            <wp:docPr id="7" name="Picture 7" descr="Експеримент до додавання тесту: 145 тестів, усі метрики 100 %"/>
            <wp:cNvGraphicFramePr>
              <a:graphicFrameLocks noChangeAspect="1"/>
            </wp:cNvGraphicFramePr>
            <a:graphic>
              <a:graphicData uri="http://schemas.openxmlformats.org/drawingml/2006/picture">
                <pic:pic>
                  <pic:nvPicPr>
                    <pic:cNvPr id="0" name="before.png"/>
                    <pic:cNvPicPr/>
                  </pic:nvPicPr>
                  <pic:blipFill>
                    <a:blip r:embed="rId16"/>
                    <a:srcRect b="35000"/>
                    <a:stretch>
                      <a:fillRect/>
                    </a:stretch>
                  </pic:blipFill>
                  <pic:spPr>
                    <a:xfrm>
                      <a:off x="0" y="0"/>
                      <a:ext cx="5940000" cy="2833637"/>
                    </a:xfrm>
                    <a:prstGeom prst="rect"/>
                  </pic:spPr>
                </pic:pic>
              </a:graphicData>
            </a:graphic>
          </wp:inline>
        </w:drawing>
      </w:r>
    </w:p>
    <w:p>
      <w:pPr>
        <w:pStyle w:val="ReportCaption"/>
      </w:pPr>
      <w:r>
        <w:t>Рисунок 7 — Експеримент до додавання тесту: 145 тестів, усі метрики 100 %</w:t>
      </w:r>
    </w:p>
    <w:p>
      <w:pPr>
        <w:pStyle w:val="ReportCaption"/>
        <w:keepNext/>
        <w:spacing w:before="120"/>
      </w:pPr>
      <w:r>
        <w:drawing>
          <wp:inline xmlns:a="http://schemas.openxmlformats.org/drawingml/2006/main" xmlns:pic="http://schemas.openxmlformats.org/drawingml/2006/picture">
            <wp:extent cx="5940000" cy="2833637"/>
            <wp:docPr id="8" name="Picture 8" descr="Експеримент після додавання тесту: 146 тестів, покриття незмінне"/>
            <wp:cNvGraphicFramePr>
              <a:graphicFrameLocks noChangeAspect="1"/>
            </wp:cNvGraphicFramePr>
            <a:graphic>
              <a:graphicData uri="http://schemas.openxmlformats.org/drawingml/2006/picture">
                <pic:pic>
                  <pic:nvPicPr>
                    <pic:cNvPr id="0" name="after.png"/>
                    <pic:cNvPicPr/>
                  </pic:nvPicPr>
                  <pic:blipFill>
                    <a:blip r:embed="rId17"/>
                    <a:srcRect b="35000"/>
                    <a:stretch>
                      <a:fillRect/>
                    </a:stretch>
                  </pic:blipFill>
                  <pic:spPr>
                    <a:xfrm>
                      <a:off x="0" y="0"/>
                      <a:ext cx="5940000" cy="2833637"/>
                    </a:xfrm>
                    <a:prstGeom prst="rect"/>
                  </pic:spPr>
                </pic:pic>
              </a:graphicData>
            </a:graphic>
          </wp:inline>
        </w:drawing>
      </w:r>
    </w:p>
    <w:p>
      <w:pPr>
        <w:pStyle w:val="ReportCaption"/>
      </w:pPr>
      <w:r>
        <w:t>Рисунок 8 — Експеримент після додавання тесту: 146 тестів, покриття незмінне</w:t>
      </w:r>
    </w:p>
    <w:p>
      <w:pPr>
        <w:pStyle w:val="ReportBody"/>
      </w:pPr>
      <w:r>
        <w:t>Тест без expect виконує код і виявить необроблений виняток, однак не звіряє повернену суму з очікуваними 155 грн. Якщо функція поверне інше число без винятку, такий тест усе одно пройде. Метрика покриття враховує виконання інструкцій, гілок, функцій і рядків, а не правильність тверджень. За наявності невиконаного шляху порожній виклик міг би підвищити показник без перевірки результату; у цьому експерименті зростання фактично не було.</w:t>
      </w:r>
    </w:p>
    <w:p>
      <w:pPr>
        <w:pStyle w:val="ReportBody"/>
      </w:pPr>
      <w:r>
        <w:t>Отже, 100 % покриття є свідченням виконаних шляхів у цьому наборі даних, але не доказом відсутності дефектів. Якість тестів забезпечують незалежні очікувані значення, змістовні матчери, перевірки винятків та обґрунтовані класи входів. Фінальний набір не містить тимчасового тесту. Для повторення досліду додано команду npm run experiment:order; попередній experiment:installment є лише додатковим дослідом і не підміняє вимогу методички.</w:t>
      </w:r>
    </w:p>
    <w:p>
      <w:pPr>
        <w:pStyle w:val="ReportHeading"/>
      </w:pPr>
      <w:r>
        <w:t>6. Специфікація, реалізація та тести функції за індивідуальним варіантом</w:t>
      </w:r>
    </w:p>
    <w:p>
      <w:pPr>
        <w:pStyle w:val="ReportLabel"/>
      </w:pPr>
      <w:r>
        <w:t>Специфікація та прийняті припущення</w:t>
      </w:r>
    </w:p>
    <w:p>
      <w:pPr>
        <w:pStyle w:val="ReportBody"/>
      </w:pPr>
      <w:r>
        <w:t>Явна вимога варіанта 12: calcInstallment(total, months) повертає місячний платіж для 3, 6 та 12 місяців із надбавкою 2 % за кожні три місяці. Загальні вимоги до варіантів передбачають параметризовані тести, перевірку сусідів межі, виняток із власним кодом помилки, явні числові очікування й покриття гілок функції не нижче 90 %.</w:t>
      </w:r>
    </w:p>
    <w:p>
      <w:pPr>
        <w:pStyle w:val="ReportBody"/>
      </w:pPr>
      <w:r>
        <w:t>У наявній реалізації прийнято просту надбавку до початкової суми: 2 % для 3 місяців, 4 % для 6 та 8 % для 12. Розрахунок має зміст total × (1 + 0,02 × months / 3) / months. Для 1200 грн відповідні платежі становлять 408, 208 і 108 грн. Нарахування не є складним відсотком. Цей спосіб тлумачення надбавки збережено як припущення реалізації.</w:t>
      </w:r>
    </w:p>
    <w:p>
      <w:pPr>
        <w:pStyle w:val="ReportBody"/>
      </w:pPr>
      <w:r>
        <w:t>Додаткові припущення: total має бути скінченним числом ≥ 0; нуль дозволений; строк має точно належати множині {3, 6, 12}; результат округлюється до двох десяткових знаків за правилом half up. Округлюється місячний платіж, залишок копійок не переноситься на останній місяць. Зокрема, 0,01 грн на 3 місяці дає 0 грн після округлення. Методичка не задає окремих правил для цих випадків, тому вони не подаються як її дослівні вимоги.</w:t>
      </w:r>
    </w:p>
    <w:p>
      <w:pPr>
        <w:pStyle w:val="ReportBody"/>
      </w:pPr>
      <w:r>
        <w:t>decimalFraction розбирає десятковий запис числа та виконує проміжні дії з bigint, щоб не спотворювати пороги округлення через додаткові двійкові похибки. Вхідний number уже має властиву JavaScript точність; алгоритм працює з його фактичним десятковим записом. При перевищенні безпечного цілого діапазону платежу в копійках реалізація відхиляє розрахунок.</w:t>
      </w:r>
    </w:p>
    <w:p>
      <w:pPr>
        <w:pStyle w:val="ReportCaption"/>
        <w:keepNext/>
      </w:pPr>
      <w:r>
        <w:t>Таблиця 4 — Валідація та коди помилок індивідуальної функції</w:t>
      </w:r>
    </w:p>
    <w:tbl>
      <w:tblPr>
        <w:tblW w:type="auto" w:w="0"/>
        <w:jc w:val="center"/>
        <w:tblLayout w:type="fixed"/>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3061"/>
        <w:gridCol w:w="3458"/>
        <w:gridCol w:w="2835"/>
      </w:tblGrid>
      <w:tr>
        <w:trPr>
          <w:cantSplit/>
          <w:tblHeader/>
        </w:trPr>
        <w:tc>
          <w:tcPr>
            <w:tcW w:type="dxa" w:w="3061"/>
            <w:vAlign w:val="center"/>
            <w:tcMar>
              <w:top w:w="70" w:type="dxa"/>
              <w:bottom w:w="70" w:type="dxa"/>
              <w:left w:w="70" w:type="dxa"/>
              <w:right w:w="70" w:type="dxa"/>
            </w:tcMar>
          </w:tcPr>
          <w:p>
            <w:pPr>
              <w:pStyle w:val="ReportCell"/>
              <w:keepNext/>
            </w:pPr>
            <w:r>
              <w:rPr>
                <w:b/>
              </w:rPr>
              <w:t>Код</w:t>
            </w:r>
          </w:p>
        </w:tc>
        <w:tc>
          <w:tcPr>
            <w:tcW w:type="dxa" w:w="3458"/>
            <w:vAlign w:val="center"/>
            <w:tcMar>
              <w:top w:w="70" w:type="dxa"/>
              <w:bottom w:w="70" w:type="dxa"/>
              <w:left w:w="70" w:type="dxa"/>
              <w:right w:w="70" w:type="dxa"/>
            </w:tcMar>
          </w:tcPr>
          <w:p>
            <w:pPr>
              <w:pStyle w:val="ReportCell"/>
              <w:keepNext/>
            </w:pPr>
            <w:r>
              <w:rPr>
                <w:b/>
              </w:rPr>
              <w:t>Причина</w:t>
            </w:r>
          </w:p>
        </w:tc>
        <w:tc>
          <w:tcPr>
            <w:tcW w:type="dxa" w:w="2835"/>
            <w:vAlign w:val="center"/>
            <w:tcMar>
              <w:top w:w="70" w:type="dxa"/>
              <w:bottom w:w="70" w:type="dxa"/>
              <w:left w:w="70" w:type="dxa"/>
              <w:right w:w="70" w:type="dxa"/>
            </w:tcMar>
          </w:tcPr>
          <w:p>
            <w:pPr>
              <w:pStyle w:val="ReportCell"/>
              <w:keepNext/>
            </w:pPr>
            <w:r>
              <w:rPr>
                <w:b/>
              </w:rPr>
              <w:t>Приклад перевірки</w:t>
            </w:r>
          </w:p>
        </w:tc>
      </w:tr>
      <w:tr>
        <w:trPr>
          <w:cantSplit/>
        </w:trPr>
        <w:tc>
          <w:tcPr>
            <w:tcW w:type="dxa" w:w="3061"/>
            <w:vAlign w:val="center"/>
            <w:tcMar>
              <w:top w:w="70" w:type="dxa"/>
              <w:bottom w:w="70" w:type="dxa"/>
              <w:left w:w="70" w:type="dxa"/>
              <w:right w:w="70" w:type="dxa"/>
            </w:tcMar>
          </w:tcPr>
          <w:p>
            <w:pPr>
              <w:pStyle w:val="ReportCell"/>
            </w:pPr>
            <w:r>
              <w:t>INVALID_​TOTAL</w:t>
            </w:r>
          </w:p>
        </w:tc>
        <w:tc>
          <w:tcPr>
            <w:tcW w:type="dxa" w:w="3458"/>
            <w:vAlign w:val="center"/>
            <w:tcMar>
              <w:top w:w="70" w:type="dxa"/>
              <w:bottom w:w="70" w:type="dxa"/>
              <w:left w:w="70" w:type="dxa"/>
              <w:right w:w="70" w:type="dxa"/>
            </w:tcMar>
          </w:tcPr>
          <w:p>
            <w:pPr>
              <w:pStyle w:val="ReportCell"/>
            </w:pPr>
            <w:r>
              <w:t>Від’ємний або нескінченний total, NaN, хибний тип у runtime.</w:t>
            </w:r>
          </w:p>
        </w:tc>
        <w:tc>
          <w:tcPr>
            <w:tcW w:type="dxa" w:w="2835"/>
            <w:vAlign w:val="center"/>
            <w:tcMar>
              <w:top w:w="70" w:type="dxa"/>
              <w:bottom w:w="70" w:type="dxa"/>
              <w:left w:w="70" w:type="dxa"/>
              <w:right w:w="70" w:type="dxa"/>
            </w:tcMar>
          </w:tcPr>
          <w:p>
            <w:pPr>
              <w:pStyle w:val="ReportCell"/>
            </w:pPr>
            <w:r>
              <w:t>−1; NaN; ±Infinity; рядок; null; undefined; {}; bigint.</w:t>
            </w:r>
          </w:p>
        </w:tc>
      </w:tr>
      <w:tr>
        <w:trPr>
          <w:cantSplit/>
        </w:trPr>
        <w:tc>
          <w:tcPr>
            <w:tcW w:type="dxa" w:w="3061"/>
            <w:vAlign w:val="center"/>
            <w:tcMar>
              <w:top w:w="70" w:type="dxa"/>
              <w:bottom w:w="70" w:type="dxa"/>
              <w:left w:w="70" w:type="dxa"/>
              <w:right w:w="70" w:type="dxa"/>
            </w:tcMar>
          </w:tcPr>
          <w:p>
            <w:pPr>
              <w:pStyle w:val="ReportCell"/>
            </w:pPr>
            <w:r>
              <w:t>UNSUPPORTED_​MONTHS</w:t>
            </w:r>
          </w:p>
        </w:tc>
        <w:tc>
          <w:tcPr>
            <w:tcW w:type="dxa" w:w="3458"/>
            <w:vAlign w:val="center"/>
            <w:tcMar>
              <w:top w:w="70" w:type="dxa"/>
              <w:bottom w:w="70" w:type="dxa"/>
              <w:left w:w="70" w:type="dxa"/>
              <w:right w:w="70" w:type="dxa"/>
            </w:tcMar>
          </w:tcPr>
          <w:p>
            <w:pPr>
              <w:pStyle w:val="ReportCell"/>
            </w:pPr>
            <w:r>
              <w:t>Строк поза {3, 6, 12}; дробовий, нескінченний або хибний тип.</w:t>
            </w:r>
          </w:p>
        </w:tc>
        <w:tc>
          <w:tcPr>
            <w:tcW w:type="dxa" w:w="2835"/>
            <w:vAlign w:val="center"/>
            <w:tcMar>
              <w:top w:w="70" w:type="dxa"/>
              <w:bottom w:w="70" w:type="dxa"/>
              <w:left w:w="70" w:type="dxa"/>
              <w:right w:w="70" w:type="dxa"/>
            </w:tcMar>
          </w:tcPr>
          <w:p>
            <w:pPr>
              <w:pStyle w:val="ReportCell"/>
            </w:pPr>
            <w:r>
              <w:t>0; 9; 24; 3,5; NaN; ±Infinity; «3»; null; undefined.</w:t>
            </w:r>
          </w:p>
        </w:tc>
      </w:tr>
      <w:tr>
        <w:trPr>
          <w:cantSplit/>
        </w:trPr>
        <w:tc>
          <w:tcPr>
            <w:tcW w:type="dxa" w:w="3061"/>
            <w:vAlign w:val="center"/>
            <w:tcMar>
              <w:top w:w="70" w:type="dxa"/>
              <w:bottom w:w="70" w:type="dxa"/>
              <w:left w:w="70" w:type="dxa"/>
              <w:right w:w="70" w:type="dxa"/>
            </w:tcMar>
          </w:tcPr>
          <w:p>
            <w:pPr>
              <w:pStyle w:val="ReportCell"/>
            </w:pPr>
            <w:r>
              <w:t>INSTALLMENT_​OUT_​OF_​RANGE</w:t>
            </w:r>
          </w:p>
        </w:tc>
        <w:tc>
          <w:tcPr>
            <w:tcW w:type="dxa" w:w="3458"/>
            <w:vAlign w:val="center"/>
            <w:tcMar>
              <w:top w:w="70" w:type="dxa"/>
              <w:bottom w:w="70" w:type="dxa"/>
              <w:left w:w="70" w:type="dxa"/>
              <w:right w:w="70" w:type="dxa"/>
            </w:tcMar>
          </w:tcPr>
          <w:p>
            <w:pPr>
              <w:pStyle w:val="ReportCell"/>
            </w:pPr>
            <w:r>
              <w:t>Округлений платіж у копійках перевищує MAX_​SAFE_​INTEGER.</w:t>
            </w:r>
          </w:p>
        </w:tc>
        <w:tc>
          <w:tcPr>
            <w:tcW w:type="dxa" w:w="2835"/>
            <w:vAlign w:val="center"/>
            <w:tcMar>
              <w:top w:w="70" w:type="dxa"/>
              <w:bottom w:w="70" w:type="dxa"/>
              <w:left w:w="70" w:type="dxa"/>
              <w:right w:w="70" w:type="dxa"/>
            </w:tcMar>
          </w:tcPr>
          <w:p>
            <w:pPr>
              <w:pStyle w:val="ReportCell"/>
            </w:pPr>
            <w:r>
              <w:t>10²¹; 1,2 × 10²¹; Number.MAX_​VALUE.</w:t>
            </w:r>
          </w:p>
        </w:tc>
      </w:tr>
    </w:tbl>
    <w:p>
      <w:pPr>
        <w:pStyle w:val="ReportBody"/>
      </w:pPr>
      <w:r>
        <w:t>Власний клас InstallmentError розширює Error та має поле code. Якщо обидва аргументи некоректні, спочатку перевіряється total. Це зафіксовано окремим тестом. Реалізацію calcInstallment та її 79 наявних тестів збережено без змін, оскільки перевірка за отриманою методичкою не виявила необхідності їх виправляти.</w:t>
      </w:r>
    </w:p>
    <w:p>
      <w:pPr>
        <w:pStyle w:val="ReportLabel"/>
      </w:pPr>
      <w:r>
        <w:t>Лістинг 3. Реалізація варіанта 12 із src/order.ts</w:t>
      </w:r>
    </w:p>
    <w:p>
      <w:pPr>
        <w:pStyle w:val="ReportCode"/>
      </w:pPr>
      <w:r>
        <w:t>export const INSTALLMENT_MONTHS = [3, 6, 12] as const;</w:t>
      </w:r>
    </w:p>
    <w:p>
      <w:pPr>
        <w:pStyle w:val="ReportCode"/>
      </w:pPr>
      <w:r>
        <w:t>export const SURCHARGE_PERCENT_PER_PERIOD = 2;</w:t>
      </w:r>
    </w:p>
    <w:p>
      <w:pPr>
        <w:pStyle w:val="ReportCode"/>
      </w:pPr>
      <w:r>
        <w:t>export const SURCHARGE_PERIOD_MONTHS = 3;</w:t>
      </w:r>
    </w:p>
    <w:p>
      <w:pPr>
        <w:pStyle w:val="ReportCode"/>
      </w:pPr>
      <w:r>
        <w:t>export type InstallmentErrorCode =</w:t>
      </w:r>
    </w:p>
    <w:p>
      <w:pPr>
        <w:pStyle w:val="ReportCode"/>
      </w:pPr>
      <w:r>
        <w:t xml:space="preserve">  'INVALID_TOTAL' | 'UNSUPPORTED_MONTHS' | 'INSTALLMENT_OUT_OF_RANGE';</w:t>
      </w:r>
    </w:p>
    <w:p>
      <w:pPr>
        <w:pStyle w:val="ReportCode"/>
      </w:pPr>
      <w:r>
        <w:t>export class InstallmentError extends Error {</w:t>
      </w:r>
    </w:p>
    <w:p>
      <w:pPr>
        <w:pStyle w:val="ReportCode"/>
      </w:pPr>
      <w:r>
        <w:t xml:space="preserve">  constructor(</w:t>
      </w:r>
    </w:p>
    <w:p>
      <w:pPr>
        <w:pStyle w:val="ReportCode"/>
      </w:pPr>
      <w:r>
        <w:t xml:space="preserve">    public readonly code: InstallmentErrorCode,</w:t>
      </w:r>
    </w:p>
    <w:p>
      <w:pPr>
        <w:pStyle w:val="ReportCode"/>
      </w:pPr>
      <w:r>
        <w:t xml:space="preserve">    message: string,</w:t>
      </w:r>
    </w:p>
    <w:p>
      <w:pPr>
        <w:pStyle w:val="ReportCode"/>
      </w:pPr>
      <w:r>
        <w:t xml:space="preserve">  ) {</w:t>
      </w:r>
    </w:p>
    <w:p>
      <w:pPr>
        <w:pStyle w:val="ReportCode"/>
      </w:pPr>
      <w:r>
        <w:t xml:space="preserve">    super(message);</w:t>
      </w:r>
    </w:p>
    <w:p>
      <w:pPr>
        <w:pStyle w:val="ReportCode"/>
      </w:pPr>
      <w:r>
        <w:t xml:space="preserve">    this.name = 'InstallmentError';</w:t>
      </w:r>
    </w:p>
    <w:p>
      <w:pPr>
        <w:pStyle w:val="ReportCode"/>
      </w:pPr>
      <w:r>
        <w:t xml:space="preserve">  }</w:t>
      </w:r>
    </w:p>
    <w:p>
      <w:pPr>
        <w:pStyle w:val="ReportCode"/>
      </w:pPr>
      <w:r>
        <w:t>}</w:t>
      </w:r>
    </w:p>
    <w:p>
      <w:pPr>
        <w:pStyle w:val="ReportCode"/>
      </w:pPr>
      <w:r>
        <w:t>// Interpret the public number's decimal representation without binary rounding.</w:t>
      </w:r>
    </w:p>
    <w:p>
      <w:pPr>
        <w:pStyle w:val="ReportCode"/>
      </w:pPr>
      <w:r>
        <w:t>function decimalFraction(value: number): [bigint, bigint] {</w:t>
      </w:r>
    </w:p>
    <w:p>
      <w:pPr>
        <w:pStyle w:val="ReportCode"/>
      </w:pPr>
      <w:r>
        <w:t xml:space="preserve">  const [coefficient, exponent = '0'] = value.toString().split('e');</w:t>
      </w:r>
    </w:p>
    <w:p>
      <w:pPr>
        <w:pStyle w:val="ReportCode"/>
      </w:pPr>
      <w:r>
        <w:t xml:space="preserve">  const [whole, fraction = ''] = coefficient.split('.');</w:t>
      </w:r>
    </w:p>
    <w:p>
      <w:pPr>
        <w:pStyle w:val="ReportCode"/>
      </w:pPr>
      <w:r>
        <w:t xml:space="preserve">  const digits = BigInt(whole + fraction);</w:t>
      </w:r>
    </w:p>
    <w:p>
      <w:pPr>
        <w:pStyle w:val="ReportCode"/>
      </w:pPr>
      <w:r>
        <w:t xml:space="preserve">  const scale = fraction.length - Number(exponent);</w:t>
      </w:r>
    </w:p>
    <w:p>
      <w:pPr>
        <w:pStyle w:val="ReportCode"/>
      </w:pPr>
      <w:r>
        <w:t xml:space="preserve">  if (scale &gt; 0) {</w:t>
      </w:r>
    </w:p>
    <w:p>
      <w:pPr>
        <w:pStyle w:val="ReportCode"/>
      </w:pPr>
      <w:r>
        <w:t xml:space="preserve">    return [digits, 10n ** BigInt(scale)];</w:t>
      </w:r>
    </w:p>
    <w:p>
      <w:pPr>
        <w:pStyle w:val="ReportCode"/>
      </w:pPr>
      <w:r>
        <w:t xml:space="preserve">  }</w:t>
      </w:r>
    </w:p>
    <w:p>
      <w:pPr>
        <w:pStyle w:val="ReportCode"/>
      </w:pPr>
      <w:r>
        <w:t xml:space="preserve">  return [digits * 10n ** BigInt(-scale), 1n];</w:t>
      </w:r>
    </w:p>
    <w:p>
      <w:pPr>
        <w:pStyle w:val="ReportCode"/>
      </w:pPr>
      <w:r>
        <w:t>}</w:t>
      </w:r>
    </w:p>
    <w:p>
      <w:pPr>
        <w:pStyle w:val="ReportCode"/>
      </w:pPr>
      <w:r>
        <w:t>/**</w:t>
      </w:r>
    </w:p>
    <w:p>
      <w:pPr>
        <w:pStyle w:val="ReportCode"/>
      </w:pPr>
      <w:r>
        <w:t xml:space="preserve"> * Simple surcharge: 2%, 4%, or 8% of the original total for 3, 6, or 12 months.</w:t>
      </w:r>
    </w:p>
    <w:p>
      <w:pPr>
        <w:pStyle w:val="ReportCode"/>
      </w:pPr>
      <w:r>
        <w:t xml:space="preserve"> * Assumptions: nonnegative finite total; round only the monthly payment to two</w:t>
      </w:r>
    </w:p>
    <w:p>
      <w:pPr>
        <w:pStyle w:val="ReportCode"/>
      </w:pPr>
      <w:r>
        <w:t xml:space="preserve"> * decimals, half up. This does not distribute a residual to the final payment.</w:t>
      </w:r>
    </w:p>
    <w:p>
      <w:pPr>
        <w:pStyle w:val="ReportCode"/>
      </w:pPr>
      <w:r>
        <w:t xml:space="preserve"> */</w:t>
      </w:r>
    </w:p>
    <w:p>
      <w:pPr>
        <w:pStyle w:val="ReportCode"/>
      </w:pPr>
      <w:r>
        <w:t>export function calcInstallment(total: number, months: number): number {</w:t>
      </w:r>
    </w:p>
    <w:p>
      <w:pPr>
        <w:pStyle w:val="ReportCode"/>
      </w:pPr>
      <w:r>
        <w:t xml:space="preserve">  if (!Number.isFinite(total) || total &lt; 0) {</w:t>
      </w:r>
    </w:p>
    <w:p>
      <w:pPr>
        <w:pStyle w:val="ReportCode"/>
      </w:pPr>
      <w:r>
        <w:t xml:space="preserve">    throw new InstallmentError(</w:t>
      </w:r>
    </w:p>
    <w:p>
      <w:pPr>
        <w:pStyle w:val="ReportCode"/>
      </w:pPr>
      <w:r>
        <w:t xml:space="preserve">      'INVALID_TOTAL',</w:t>
      </w:r>
    </w:p>
    <w:p>
      <w:pPr>
        <w:pStyle w:val="ReportCode"/>
      </w:pPr>
      <w:r>
        <w:t xml:space="preserve">      'Total must be a finite nonnegative number.',</w:t>
      </w:r>
    </w:p>
    <w:p>
      <w:pPr>
        <w:pStyle w:val="ReportCode"/>
      </w:pPr>
      <w:r>
        <w:t xml:space="preserve">    );</w:t>
      </w:r>
    </w:p>
    <w:p>
      <w:pPr>
        <w:pStyle w:val="ReportCode"/>
      </w:pPr>
      <w:r>
        <w:t xml:space="preserve">  }</w:t>
      </w:r>
    </w:p>
    <w:p>
      <w:pPr>
        <w:pStyle w:val="ReportCode"/>
      </w:pPr>
      <w:r>
        <w:t xml:space="preserve">  if (!INSTALLMENT_MONTHS.includes(months as 3 | 6 | 12)) {</w:t>
      </w:r>
    </w:p>
    <w:p>
      <w:pPr>
        <w:pStyle w:val="ReportCode"/>
      </w:pPr>
      <w:r>
        <w:t xml:space="preserve">    throw new InstallmentError(</w:t>
      </w:r>
    </w:p>
    <w:p>
      <w:pPr>
        <w:pStyle w:val="ReportCode"/>
      </w:pPr>
      <w:r>
        <w:t xml:space="preserve">      'UNSUPPORTED_MONTHS',</w:t>
      </w:r>
    </w:p>
    <w:p>
      <w:pPr>
        <w:pStyle w:val="ReportCode"/>
      </w:pPr>
      <w:r>
        <w:t xml:space="preserve">      'Installments are available for 3, 6, or 12 months.',</w:t>
      </w:r>
    </w:p>
    <w:p>
      <w:pPr>
        <w:pStyle w:val="ReportCode"/>
      </w:pPr>
      <w:r>
        <w:t xml:space="preserve">    );</w:t>
      </w:r>
    </w:p>
    <w:p>
      <w:pPr>
        <w:pStyle w:val="ReportCode"/>
      </w:pPr>
      <w:r>
        <w:t xml:space="preserve">  }</w:t>
      </w:r>
    </w:p>
    <w:p>
      <w:pPr>
        <w:pStyle w:val="ReportCode"/>
      </w:pPr>
      <w:r>
        <w:t xml:space="preserve">  const [amount, scale] = decimalFraction(total);</w:t>
      </w:r>
    </w:p>
    <w:p>
      <w:pPr>
        <w:pStyle w:val="ReportCode"/>
      </w:pPr>
      <w:r>
        <w:t xml:space="preserve">  const surcharge =</w:t>
      </w:r>
    </w:p>
    <w:p>
      <w:pPr>
        <w:pStyle w:val="ReportCode"/>
      </w:pPr>
      <w:r>
        <w:t xml:space="preserve">    (months / SURCHARGE_PERIOD_MONTHS) * SURCHARGE_PERCENT_PER_PERIOD;</w:t>
      </w:r>
    </w:p>
    <w:p>
      <w:pPr>
        <w:pStyle w:val="ReportCode"/>
      </w:pPr>
      <w:r>
        <w:t xml:space="preserve">  const numerator = amount * BigInt(100 + surcharge);</w:t>
      </w:r>
    </w:p>
    <w:p>
      <w:pPr>
        <w:pStyle w:val="ReportCode"/>
      </w:pPr>
      <w:r>
        <w:t xml:space="preserve">  const denominator = scale * BigInt(months);</w:t>
      </w:r>
    </w:p>
    <w:p>
      <w:pPr>
        <w:pStyle w:val="ReportCode"/>
      </w:pPr>
      <w:r>
        <w:t xml:space="preserve">  const roundedCents = (2n * numerator + denominator) / (2n * denominator);</w:t>
      </w:r>
    </w:p>
    <w:p>
      <w:pPr>
        <w:pStyle w:val="ReportCode"/>
      </w:pPr>
      <w:r>
        <w:t xml:space="preserve">  if (roundedCents &gt; BigInt(Number.MAX_SAFE_INTEGER)) {</w:t>
      </w:r>
    </w:p>
    <w:p>
      <w:pPr>
        <w:pStyle w:val="ReportCode"/>
      </w:pPr>
      <w:r>
        <w:t xml:space="preserve">    throw new InstallmentError(</w:t>
      </w:r>
    </w:p>
    <w:p>
      <w:pPr>
        <w:pStyle w:val="ReportCode"/>
      </w:pPr>
      <w:r>
        <w:t xml:space="preserve">      'INSTALLMENT_OUT_OF_RANGE',</w:t>
      </w:r>
    </w:p>
    <w:p>
      <w:pPr>
        <w:pStyle w:val="ReportCode"/>
      </w:pPr>
      <w:r>
        <w:t xml:space="preserve">      'The monthly payment in cents exceeds the safe integer range.',</w:t>
      </w:r>
    </w:p>
    <w:p>
      <w:pPr>
        <w:pStyle w:val="ReportCode"/>
      </w:pPr>
      <w:r>
        <w:t xml:space="preserve">    );</w:t>
      </w:r>
    </w:p>
    <w:p>
      <w:pPr>
        <w:pStyle w:val="ReportCode"/>
      </w:pPr>
      <w:r>
        <w:t xml:space="preserve">  }</w:t>
      </w:r>
    </w:p>
    <w:p>
      <w:pPr>
        <w:pStyle w:val="ReportCode"/>
      </w:pPr>
      <w:r>
        <w:t xml:space="preserve">  return Number(roundedCents) / 100;</w:t>
      </w:r>
    </w:p>
    <w:p>
      <w:pPr>
        <w:pStyle w:val="ReportCode"/>
      </w:pPr>
      <w:r>
        <w:t>}</w:t>
      </w:r>
    </w:p>
    <w:p>
      <w:pPr>
        <w:pStyle w:val="ReportLabel"/>
      </w:pPr>
      <w:r>
        <w:t>Пояснення добору тестових даних</w:t>
      </w:r>
    </w:p>
    <w:p>
      <w:pPr>
        <w:pStyle w:val="ReportBody"/>
      </w:pPr>
      <w:r>
        <w:t>Позитивні таблиці містять усі три строки для сум 1200 і 3000 та нуль для кожного строку. Окрема таблиця перевіряє малі дроби, експоненційний запис, MIN_VALUE і велику допустиму суму. Значення 0,749 / 0,750 / 0,751 віддалені на одну тисячну від межі округлення; 0,750 × 1,02 / 3 = 0,255, тому саме середнє значення переходить до 0,26.</w:t>
      </w:r>
    </w:p>
    <w:p>
      <w:pPr>
        <w:pStyle w:val="ReportBody"/>
      </w:pPr>
      <w:r>
        <w:t>Правило «межа мінус один, межа, межа плюс один» застосовано до 3, 6 і 12 місяців та до нижньої межі суми: −1, 0, 1. Набори NaN, нескінченностей і хибних runtime-типів перевіряють відхилення входів, а великі суми перевіряють виняток безпечного діапазону. Очікувані платежі задано літералами. toBeCloseTo застосовано для дробів; toBe — також у збережених тестах з точними еталонними числами та нулем. toThrow(InstallmentError) перевіряє клас, а toThrow(expect.objectContaining(...)) — власний код і, для INVALID_TOTAL, повідомлення.</w:t>
      </w:r>
    </w:p>
    <w:p>
      <w:pPr>
        <w:pStyle w:val="ReportLabel"/>
      </w:pPr>
      <w:r>
        <w:t>Лістинг 4. Повний файл tests/order.test.ts</w:t>
      </w:r>
    </w:p>
    <w:p>
      <w:pPr>
        <w:pStyle w:val="ReportCode"/>
      </w:pPr>
      <w:r>
        <w:t>import { describe, expect, it } from 'vitest';</w:t>
      </w:r>
    </w:p>
    <w:p>
      <w:pPr>
        <w:pStyle w:val="ReportCode"/>
      </w:pPr>
      <w:r>
        <w:t>import { calcInstallment, InstallmentError } from '../src/order';</w:t>
      </w:r>
    </w:p>
    <w:p>
      <w:pPr>
        <w:pStyle w:val="ReportCode"/>
      </w:pPr>
      <w:r>
        <w:t>describe('Розрахунок місячного платежу calcInstallment', () =&gt; {</w:t>
      </w:r>
    </w:p>
    <w:p>
      <w:pPr>
        <w:pStyle w:val="ReportCode"/>
      </w:pPr>
      <w:r>
        <w:t xml:space="preserve">  it.each([</w:t>
      </w:r>
    </w:p>
    <w:p>
      <w:pPr>
        <w:pStyle w:val="ReportCode"/>
      </w:pPr>
      <w:r>
        <w:t xml:space="preserve">    [1200, 3, 408],</w:t>
      </w:r>
    </w:p>
    <w:p>
      <w:pPr>
        <w:pStyle w:val="ReportCode"/>
      </w:pPr>
      <w:r>
        <w:t xml:space="preserve">    [1200, 6, 208],</w:t>
      </w:r>
    </w:p>
    <w:p>
      <w:pPr>
        <w:pStyle w:val="ReportCode"/>
      </w:pPr>
      <w:r>
        <w:t xml:space="preserve">    [1200, 12, 108],</w:t>
      </w:r>
    </w:p>
    <w:p>
      <w:pPr>
        <w:pStyle w:val="ReportCode"/>
      </w:pPr>
      <w:r>
        <w:t xml:space="preserve">    [3000, 3, 1020],</w:t>
      </w:r>
    </w:p>
    <w:p>
      <w:pPr>
        <w:pStyle w:val="ReportCode"/>
      </w:pPr>
      <w:r>
        <w:t xml:space="preserve">    [3000, 6, 520],</w:t>
      </w:r>
    </w:p>
    <w:p>
      <w:pPr>
        <w:pStyle w:val="ReportCode"/>
      </w:pPr>
      <w:r>
        <w:t xml:space="preserve">    [3000, 12, 270],</w:t>
      </w:r>
    </w:p>
    <w:p>
      <w:pPr>
        <w:pStyle w:val="ReportCode"/>
      </w:pPr>
      <w:r>
        <w:t xml:space="preserve">  ])('для суми %s і строку %s повертає %s', (total, months, expected) =&gt; {</w:t>
      </w:r>
    </w:p>
    <w:p>
      <w:pPr>
        <w:pStyle w:val="ReportCode"/>
      </w:pPr>
      <w:r>
        <w:t xml:space="preserve">    // Arrange: expected is an independent literal reference value.</w:t>
      </w:r>
    </w:p>
    <w:p>
      <w:pPr>
        <w:pStyle w:val="ReportCode"/>
      </w:pPr>
      <w:r>
        <w:t xml:space="preserve">    // Act</w:t>
      </w:r>
    </w:p>
    <w:p>
      <w:pPr>
        <w:pStyle w:val="ReportCode"/>
      </w:pPr>
      <w:r>
        <w:t xml:space="preserve">    const payment = calcInstallment(total, months);</w:t>
      </w:r>
    </w:p>
    <w:p>
      <w:pPr>
        <w:pStyle w:val="ReportCode"/>
      </w:pPr>
      <w:r>
        <w:t xml:space="preserve">    // Assert</w:t>
      </w:r>
    </w:p>
    <w:p>
      <w:pPr>
        <w:pStyle w:val="ReportCode"/>
      </w:pPr>
      <w:r>
        <w:t xml:space="preserve">    expect(payment).toBe(expected);</w:t>
      </w:r>
    </w:p>
    <w:p>
      <w:pPr>
        <w:pStyle w:val="ReportCode"/>
      </w:pPr>
      <w:r>
        <w:t xml:space="preserve">  });</w:t>
      </w:r>
    </w:p>
    <w:p>
      <w:pPr>
        <w:pStyle w:val="ReportCode"/>
      </w:pPr>
      <w:r>
        <w:t xml:space="preserve">  it.each([3, 6, 12])(</w:t>
      </w:r>
    </w:p>
    <w:p>
      <w:pPr>
        <w:pStyle w:val="ReportCode"/>
      </w:pPr>
      <w:r>
        <w:t xml:space="preserve">    'для нульової суми й строку %s повертає нуль',</w:t>
      </w:r>
    </w:p>
    <w:p>
      <w:pPr>
        <w:pStyle w:val="ReportCode"/>
      </w:pPr>
      <w:r>
        <w:t xml:space="preserve">    (months) =&gt; {</w:t>
      </w:r>
    </w:p>
    <w:p>
      <w:pPr>
        <w:pStyle w:val="ReportCode"/>
      </w:pPr>
      <w:r>
        <w:t xml:space="preserve">      expect(calcInstallment(0, months)).toBe(0);</w:t>
      </w:r>
    </w:p>
    <w:p>
      <w:pPr>
        <w:pStyle w:val="ReportCode"/>
      </w:pPr>
      <w:r>
        <w:t xml:space="preserve">    },</w:t>
      </w:r>
    </w:p>
    <w:p>
      <w:pPr>
        <w:pStyle w:val="ReportCode"/>
      </w:pPr>
      <w:r>
        <w:t xml:space="preserve">  );</w:t>
      </w:r>
    </w:p>
    <w:p>
      <w:pPr>
        <w:pStyle w:val="ReportCode"/>
      </w:pPr>
      <w:r>
        <w:t xml:space="preserve">  it.each([</w:t>
      </w:r>
    </w:p>
    <w:p>
      <w:pPr>
        <w:pStyle w:val="ReportCode"/>
      </w:pPr>
      <w:r>
        <w:t xml:space="preserve">    [0.01, 3, 0],</w:t>
      </w:r>
    </w:p>
    <w:p>
      <w:pPr>
        <w:pStyle w:val="ReportCode"/>
      </w:pPr>
      <w:r>
        <w:t xml:space="preserve">    [0.02, 3, 0.01],</w:t>
      </w:r>
    </w:p>
    <w:p>
      <w:pPr>
        <w:pStyle w:val="ReportCode"/>
      </w:pPr>
      <w:r>
        <w:t xml:space="preserve">    [1, 3, 0.34],</w:t>
      </w:r>
    </w:p>
    <w:p>
      <w:pPr>
        <w:pStyle w:val="ReportCode"/>
      </w:pPr>
      <w:r>
        <w:t xml:space="preserve">    [100, 6, 17.33],</w:t>
      </w:r>
    </w:p>
    <w:p>
      <w:pPr>
        <w:pStyle w:val="ReportCode"/>
      </w:pPr>
      <w:r>
        <w:t xml:space="preserve">    [100, 12, 9],</w:t>
      </w:r>
    </w:p>
    <w:p>
      <w:pPr>
        <w:pStyle w:val="ReportCode"/>
      </w:pPr>
      <w:r>
        <w:t xml:space="preserve">    [0.1 + 0.2, 3, 0.1],</w:t>
      </w:r>
    </w:p>
    <w:p>
      <w:pPr>
        <w:pStyle w:val="ReportCode"/>
      </w:pPr>
      <w:r>
        <w:t xml:space="preserve">    [1.004, 6, 0.17],</w:t>
      </w:r>
    </w:p>
    <w:p>
      <w:pPr>
        <w:pStyle w:val="ReportCode"/>
      </w:pPr>
      <w:r>
        <w:t xml:space="preserve">    [1.005, 6, 0.17],</w:t>
      </w:r>
    </w:p>
    <w:p>
      <w:pPr>
        <w:pStyle w:val="ReportCode"/>
      </w:pPr>
      <w:r>
        <w:t xml:space="preserve">    [1.006, 6, 0.17],</w:t>
      </w:r>
    </w:p>
    <w:p>
      <w:pPr>
        <w:pStyle w:val="ReportCode"/>
      </w:pPr>
      <w:r>
        <w:t xml:space="preserve">    [1.125, 3, 0.38],</w:t>
      </w:r>
    </w:p>
    <w:p>
      <w:pPr>
        <w:pStyle w:val="ReportCode"/>
      </w:pPr>
      <w:r>
        <w:t xml:space="preserve">    [1.25, 12, 0.11],</w:t>
      </w:r>
    </w:p>
    <w:p>
      <w:pPr>
        <w:pStyle w:val="ReportCode"/>
      </w:pPr>
      <w:r>
        <w:t xml:space="preserve">    [1.249, 12, 0.11],</w:t>
      </w:r>
    </w:p>
    <w:p>
      <w:pPr>
        <w:pStyle w:val="ReportCode"/>
      </w:pPr>
      <w:r>
        <w:t xml:space="preserve">    [1.251, 12, 0.11],</w:t>
      </w:r>
    </w:p>
    <w:p>
      <w:pPr>
        <w:pStyle w:val="ReportCode"/>
      </w:pPr>
      <w:r>
        <w:t xml:space="preserve">    [0.1249, 12, 0.01],</w:t>
      </w:r>
    </w:p>
    <w:p>
      <w:pPr>
        <w:pStyle w:val="ReportCode"/>
      </w:pPr>
      <w:r>
        <w:t xml:space="preserve">    [0.125, 12, 0.01],</w:t>
      </w:r>
    </w:p>
    <w:p>
      <w:pPr>
        <w:pStyle w:val="ReportCode"/>
      </w:pPr>
      <w:r>
        <w:t xml:space="preserve">    [0.1251, 12, 0.01],</w:t>
      </w:r>
    </w:p>
    <w:p>
      <w:pPr>
        <w:pStyle w:val="ReportCode"/>
      </w:pPr>
      <w:r>
        <w:t xml:space="preserve">    [0.3749, 12, 0.03],</w:t>
      </w:r>
    </w:p>
    <w:p>
      <w:pPr>
        <w:pStyle w:val="ReportCode"/>
      </w:pPr>
      <w:r>
        <w:t xml:space="preserve">    [0.375, 12, 0.03],</w:t>
      </w:r>
    </w:p>
    <w:p>
      <w:pPr>
        <w:pStyle w:val="ReportCode"/>
      </w:pPr>
      <w:r>
        <w:t xml:space="preserve">    [0.3751, 12, 0.03],</w:t>
      </w:r>
    </w:p>
    <w:p>
      <w:pPr>
        <w:pStyle w:val="ReportCode"/>
      </w:pPr>
      <w:r>
        <w:t xml:space="preserve">    [1.499, 3, 0.51],</w:t>
      </w:r>
    </w:p>
    <w:p>
      <w:pPr>
        <w:pStyle w:val="ReportCode"/>
      </w:pPr>
      <w:r>
        <w:t xml:space="preserve">    [1.5, 3, 0.51],</w:t>
      </w:r>
    </w:p>
    <w:p>
      <w:pPr>
        <w:pStyle w:val="ReportCode"/>
      </w:pPr>
      <w:r>
        <w:t xml:space="preserve">    [1.501, 3, 0.51],</w:t>
      </w:r>
    </w:p>
    <w:p>
      <w:pPr>
        <w:pStyle w:val="ReportCode"/>
      </w:pPr>
      <w:r>
        <w:t xml:space="preserve">    [1e-7, 3, 0],</w:t>
      </w:r>
    </w:p>
    <w:p>
      <w:pPr>
        <w:pStyle w:val="ReportCode"/>
      </w:pPr>
      <w:r>
        <w:t xml:space="preserve">    [1.2e-7, 6, 0],</w:t>
      </w:r>
    </w:p>
    <w:p>
      <w:pPr>
        <w:pStyle w:val="ReportCode"/>
      </w:pPr>
      <w:r>
        <w:t xml:space="preserve">    [Number.MIN_VALUE, 12, 0],</w:t>
      </w:r>
    </w:p>
    <w:p>
      <w:pPr>
        <w:pStyle w:val="ReportCode"/>
      </w:pPr>
      <w:r>
        <w:t xml:space="preserve">    [1e10, 12, 900000000],</w:t>
      </w:r>
    </w:p>
    <w:p>
      <w:pPr>
        <w:pStyle w:val="ReportCode"/>
      </w:pPr>
      <w:r>
        <w:t xml:space="preserve">  ])(</w:t>
      </w:r>
    </w:p>
    <w:p>
      <w:pPr>
        <w:pStyle w:val="ReportCode"/>
      </w:pPr>
      <w:r>
        <w:t xml:space="preserve">    'для суми %s і строку %s округлює платіж до %s',</w:t>
      </w:r>
    </w:p>
    <w:p>
      <w:pPr>
        <w:pStyle w:val="ReportCode"/>
      </w:pPr>
      <w:r>
        <w:t xml:space="preserve">    (total, months, expected) =&gt; {</w:t>
      </w:r>
    </w:p>
    <w:p>
      <w:pPr>
        <w:pStyle w:val="ReportCode"/>
      </w:pPr>
      <w:r>
        <w:t xml:space="preserve">      expect(calcInstallment(total, months)).toBeCloseTo(expected, 10);</w:t>
      </w:r>
    </w:p>
    <w:p>
      <w:pPr>
        <w:pStyle w:val="ReportCode"/>
      </w:pPr>
      <w:r>
        <w:t xml:space="preserve">    },</w:t>
      </w:r>
    </w:p>
    <w:p>
      <w:pPr>
        <w:pStyle w:val="ReportCode"/>
      </w:pPr>
      <w:r>
        <w:t xml:space="preserve">  );</w:t>
      </w:r>
    </w:p>
    <w:p>
      <w:pPr>
        <w:pStyle w:val="ReportCode"/>
      </w:pPr>
      <w:r>
        <w:t xml:space="preserve">  it.each([</w:t>
      </w:r>
    </w:p>
    <w:p>
      <w:pPr>
        <w:pStyle w:val="ReportCode"/>
      </w:pPr>
      <w:r>
        <w:t xml:space="preserve">    [0.124, 0.04],</w:t>
      </w:r>
    </w:p>
    <w:p>
      <w:pPr>
        <w:pStyle w:val="ReportCode"/>
      </w:pPr>
      <w:r>
        <w:t xml:space="preserve">    [0.125, 0.04],</w:t>
      </w:r>
    </w:p>
    <w:p>
      <w:pPr>
        <w:pStyle w:val="ReportCode"/>
      </w:pPr>
      <w:r>
        <w:t xml:space="preserve">    [0.126, 0.04],</w:t>
      </w:r>
    </w:p>
    <w:p>
      <w:pPr>
        <w:pStyle w:val="ReportCode"/>
      </w:pPr>
      <w:r>
        <w:t xml:space="preserve">    [0.749, 0.25],</w:t>
      </w:r>
    </w:p>
    <w:p>
      <w:pPr>
        <w:pStyle w:val="ReportCode"/>
      </w:pPr>
      <w:r>
        <w:t xml:space="preserve">    [0.75, 0.26],</w:t>
      </w:r>
    </w:p>
    <w:p>
      <w:pPr>
        <w:pStyle w:val="ReportCode"/>
      </w:pPr>
      <w:r>
        <w:t xml:space="preserve">    [0.751, 0.26],</w:t>
      </w:r>
    </w:p>
    <w:p>
      <w:pPr>
        <w:pStyle w:val="ReportCode"/>
      </w:pPr>
      <w:r>
        <w:t xml:space="preserve">  ])('для суми %s округлює місячний платіж до %s', (total, expected) =&gt; {</w:t>
      </w:r>
    </w:p>
    <w:p>
      <w:pPr>
        <w:pStyle w:val="ReportCode"/>
      </w:pPr>
      <w:r>
        <w:t xml:space="preserve">    expect(calcInstallment(total, 3)).toBeCloseTo(expected, 10);</w:t>
      </w:r>
    </w:p>
    <w:p>
      <w:pPr>
        <w:pStyle w:val="ReportCode"/>
      </w:pPr>
      <w:r>
        <w:t xml:space="preserve">  });</w:t>
      </w:r>
    </w:p>
    <w:p>
      <w:pPr>
        <w:pStyle w:val="ReportCode"/>
      </w:pPr>
      <w:r>
        <w:t xml:space="preserve">  it.each([</w:t>
      </w:r>
    </w:p>
    <w:p>
      <w:pPr>
        <w:pStyle w:val="ReportCode"/>
      </w:pPr>
      <w:r>
        <w:t xml:space="preserve">    [2, false],</w:t>
      </w:r>
    </w:p>
    <w:p>
      <w:pPr>
        <w:pStyle w:val="ReportCode"/>
      </w:pPr>
      <w:r>
        <w:t xml:space="preserve">    [3, true],</w:t>
      </w:r>
    </w:p>
    <w:p>
      <w:pPr>
        <w:pStyle w:val="ReportCode"/>
      </w:pPr>
      <w:r>
        <w:t xml:space="preserve">    [4, false],</w:t>
      </w:r>
    </w:p>
    <w:p>
      <w:pPr>
        <w:pStyle w:val="ReportCode"/>
      </w:pPr>
      <w:r>
        <w:t xml:space="preserve">    [5, false],</w:t>
      </w:r>
    </w:p>
    <w:p>
      <w:pPr>
        <w:pStyle w:val="ReportCode"/>
      </w:pPr>
      <w:r>
        <w:t xml:space="preserve">    [6, true],</w:t>
      </w:r>
    </w:p>
    <w:p>
      <w:pPr>
        <w:pStyle w:val="ReportCode"/>
      </w:pPr>
      <w:r>
        <w:t xml:space="preserve">    [7, false],</w:t>
      </w:r>
    </w:p>
    <w:p>
      <w:pPr>
        <w:pStyle w:val="ReportCode"/>
      </w:pPr>
      <w:r>
        <w:t xml:space="preserve">    [11, false],</w:t>
      </w:r>
    </w:p>
    <w:p>
      <w:pPr>
        <w:pStyle w:val="ReportCode"/>
      </w:pPr>
      <w:r>
        <w:t xml:space="preserve">    [12, true],</w:t>
      </w:r>
    </w:p>
    <w:p>
      <w:pPr>
        <w:pStyle w:val="ReportCode"/>
      </w:pPr>
      <w:r>
        <w:t xml:space="preserve">    [13, false],</w:t>
      </w:r>
    </w:p>
    <w:p>
      <w:pPr>
        <w:pStyle w:val="ReportCode"/>
      </w:pPr>
      <w:r>
        <w:t xml:space="preserve">  ])('для граничного строку %s допустимість дорівнює %s', (months, valid) =&gt; {</w:t>
      </w:r>
    </w:p>
    <w:p>
      <w:pPr>
        <w:pStyle w:val="ReportCode"/>
      </w:pPr>
      <w:r>
        <w:t xml:space="preserve">    if (valid) {</w:t>
      </w:r>
    </w:p>
    <w:p>
      <w:pPr>
        <w:pStyle w:val="ReportCode"/>
      </w:pPr>
      <w:r>
        <w:t xml:space="preserve">      expect(calcInstallment(0, months)).toBe(0);</w:t>
      </w:r>
    </w:p>
    <w:p>
      <w:pPr>
        <w:pStyle w:val="ReportCode"/>
      </w:pPr>
      <w:r>
        <w:t xml:space="preserve">    } else {</w:t>
      </w:r>
    </w:p>
    <w:p>
      <w:pPr>
        <w:pStyle w:val="ReportCode"/>
      </w:pPr>
      <w:r>
        <w:t xml:space="preserve">      expect(() =&gt; calcInstallment(0, months)).toThrow(InstallmentError);</w:t>
      </w:r>
    </w:p>
    <w:p>
      <w:pPr>
        <w:pStyle w:val="ReportCode"/>
      </w:pPr>
      <w:r>
        <w:t xml:space="preserve">    }</w:t>
      </w:r>
    </w:p>
    <w:p>
      <w:pPr>
        <w:pStyle w:val="ReportCode"/>
      </w:pPr>
      <w:r>
        <w:t xml:space="preserve">  });</w:t>
      </w:r>
    </w:p>
    <w:p>
      <w:pPr>
        <w:pStyle w:val="ReportCode"/>
      </w:pPr>
      <w:r>
        <w:t xml:space="preserve">  it.each([-1, NaN, Infinity, -Infinity, '100', null, undefined, {}, 100n])(</w:t>
      </w:r>
    </w:p>
    <w:p>
      <w:pPr>
        <w:pStyle w:val="ReportCode"/>
      </w:pPr>
      <w:r>
        <w:t xml:space="preserve">    'відхиляє некоректну суму %s з кодом INVALID_TOTAL',</w:t>
      </w:r>
    </w:p>
    <w:p>
      <w:pPr>
        <w:pStyle w:val="ReportCode"/>
      </w:pPr>
      <w:r>
        <w:t xml:space="preserve">    (total) =&gt; {</w:t>
      </w:r>
    </w:p>
    <w:p>
      <w:pPr>
        <w:pStyle w:val="ReportCode"/>
      </w:pPr>
      <w:r>
        <w:t xml:space="preserve">      const calculate = () =&gt; calcInstallment(total as number, 3);</w:t>
      </w:r>
    </w:p>
    <w:p>
      <w:pPr>
        <w:pStyle w:val="ReportCode"/>
      </w:pPr>
      <w:r>
        <w:t xml:space="preserve">      expect(calculate).toThrow(InstallmentError);</w:t>
      </w:r>
    </w:p>
    <w:p>
      <w:pPr>
        <w:pStyle w:val="ReportCode"/>
      </w:pPr>
      <w:r>
        <w:t xml:space="preserve">      expect(calculate).toThrow(</w:t>
      </w:r>
    </w:p>
    <w:p>
      <w:pPr>
        <w:pStyle w:val="ReportCode"/>
      </w:pPr>
      <w:r>
        <w:t xml:space="preserve">        expect.objectContaining({</w:t>
      </w:r>
    </w:p>
    <w:p>
      <w:pPr>
        <w:pStyle w:val="ReportCode"/>
      </w:pPr>
      <w:r>
        <w:t xml:space="preserve">          code: 'INVALID_TOTAL',</w:t>
      </w:r>
    </w:p>
    <w:p>
      <w:pPr>
        <w:pStyle w:val="ReportCode"/>
      </w:pPr>
      <w:r>
        <w:t xml:space="preserve">          message: 'Total must be a finite nonnegative number.',</w:t>
      </w:r>
    </w:p>
    <w:p>
      <w:pPr>
        <w:pStyle w:val="ReportCode"/>
      </w:pPr>
      <w:r>
        <w:t xml:space="preserve">        }),</w:t>
      </w:r>
    </w:p>
    <w:p>
      <w:pPr>
        <w:pStyle w:val="ReportCode"/>
      </w:pPr>
      <w:r>
        <w:t xml:space="preserve">      );</w:t>
      </w:r>
    </w:p>
    <w:p>
      <w:pPr>
        <w:pStyle w:val="ReportCode"/>
      </w:pPr>
      <w:r>
        <w:t xml:space="preserve">    },</w:t>
      </w:r>
    </w:p>
    <w:p>
      <w:pPr>
        <w:pStyle w:val="ReportCode"/>
      </w:pPr>
      <w:r>
        <w:t xml:space="preserve">  );</w:t>
      </w:r>
    </w:p>
    <w:p>
      <w:pPr>
        <w:pStyle w:val="ReportCode"/>
      </w:pPr>
      <w:r>
        <w:t xml:space="preserve">  it.each([</w:t>
      </w:r>
    </w:p>
    <w:p>
      <w:pPr>
        <w:pStyle w:val="ReportCode"/>
      </w:pPr>
      <w:r>
        <w:t xml:space="preserve">    -1,</w:t>
      </w:r>
    </w:p>
    <w:p>
      <w:pPr>
        <w:pStyle w:val="ReportCode"/>
      </w:pPr>
      <w:r>
        <w:t xml:space="preserve">    0,</w:t>
      </w:r>
    </w:p>
    <w:p>
      <w:pPr>
        <w:pStyle w:val="ReportCode"/>
      </w:pPr>
      <w:r>
        <w:t xml:space="preserve">    1,</w:t>
      </w:r>
    </w:p>
    <w:p>
      <w:pPr>
        <w:pStyle w:val="ReportCode"/>
      </w:pPr>
      <w:r>
        <w:t xml:space="preserve">    9,</w:t>
      </w:r>
    </w:p>
    <w:p>
      <w:pPr>
        <w:pStyle w:val="ReportCode"/>
      </w:pPr>
      <w:r>
        <w:t xml:space="preserve">    24,</w:t>
      </w:r>
    </w:p>
    <w:p>
      <w:pPr>
        <w:pStyle w:val="ReportCode"/>
      </w:pPr>
      <w:r>
        <w:t xml:space="preserve">    3.5,</w:t>
      </w:r>
    </w:p>
    <w:p>
      <w:pPr>
        <w:pStyle w:val="ReportCode"/>
      </w:pPr>
      <w:r>
        <w:t xml:space="preserve">    NaN,</w:t>
      </w:r>
    </w:p>
    <w:p>
      <w:pPr>
        <w:pStyle w:val="ReportCode"/>
      </w:pPr>
      <w:r>
        <w:t xml:space="preserve">    Infinity,</w:t>
      </w:r>
    </w:p>
    <w:p>
      <w:pPr>
        <w:pStyle w:val="ReportCode"/>
      </w:pPr>
      <w:r>
        <w:t xml:space="preserve">    -Infinity,</w:t>
      </w:r>
    </w:p>
    <w:p>
      <w:pPr>
        <w:pStyle w:val="ReportCode"/>
      </w:pPr>
      <w:r>
        <w:t xml:space="preserve">    '3',</w:t>
      </w:r>
    </w:p>
    <w:p>
      <w:pPr>
        <w:pStyle w:val="ReportCode"/>
      </w:pPr>
      <w:r>
        <w:t xml:space="preserve">    null,</w:t>
      </w:r>
    </w:p>
    <w:p>
      <w:pPr>
        <w:pStyle w:val="ReportCode"/>
      </w:pPr>
      <w:r>
        <w:t xml:space="preserve">    undefined,</w:t>
      </w:r>
    </w:p>
    <w:p>
      <w:pPr>
        <w:pStyle w:val="ReportCode"/>
      </w:pPr>
      <w:r>
        <w:t xml:space="preserve">  ])(</w:t>
      </w:r>
    </w:p>
    <w:p>
      <w:pPr>
        <w:pStyle w:val="ReportCode"/>
      </w:pPr>
      <w:r>
        <w:t xml:space="preserve">    'відхиляє непідтримуваний строк %s з кодом UNSUPPORTED_MONTHS',</w:t>
      </w:r>
    </w:p>
    <w:p>
      <w:pPr>
        <w:pStyle w:val="ReportCode"/>
      </w:pPr>
      <w:r>
        <w:t xml:space="preserve">    (months) =&gt; {</w:t>
      </w:r>
    </w:p>
    <w:p>
      <w:pPr>
        <w:pStyle w:val="ReportCode"/>
      </w:pPr>
      <w:r>
        <w:t xml:space="preserve">      expect(() =&gt; calcInstallment(1200, months as number)).toThrow(</w:t>
      </w:r>
    </w:p>
    <w:p>
      <w:pPr>
        <w:pStyle w:val="ReportCode"/>
      </w:pPr>
      <w:r>
        <w:t xml:space="preserve">        expect.objectContaining({ code: 'UNSUPPORTED_MONTHS' }),</w:t>
      </w:r>
    </w:p>
    <w:p>
      <w:pPr>
        <w:pStyle w:val="ReportCode"/>
      </w:pPr>
      <w:r>
        <w:t xml:space="preserve">      );</w:t>
      </w:r>
    </w:p>
    <w:p>
      <w:pPr>
        <w:pStyle w:val="ReportCode"/>
      </w:pPr>
      <w:r>
        <w:t xml:space="preserve">    },</w:t>
      </w:r>
    </w:p>
    <w:p>
      <w:pPr>
        <w:pStyle w:val="ReportCode"/>
      </w:pPr>
      <w:r>
        <w:t xml:space="preserve">  );</w:t>
      </w:r>
    </w:p>
    <w:p>
      <w:pPr>
        <w:pStyle w:val="ReportCode"/>
      </w:pPr>
      <w:r>
        <w:t xml:space="preserve">  it.each([</w:t>
      </w:r>
    </w:p>
    <w:p>
      <w:pPr>
        <w:pStyle w:val="ReportCode"/>
      </w:pPr>
      <w:r>
        <w:t xml:space="preserve">    [-1, 'INVALID_TOTAL'],</w:t>
      </w:r>
    </w:p>
    <w:p>
      <w:pPr>
        <w:pStyle w:val="ReportCode"/>
      </w:pPr>
      <w:r>
        <w:t xml:space="preserve">    [0, null],</w:t>
      </w:r>
    </w:p>
    <w:p>
      <w:pPr>
        <w:pStyle w:val="ReportCode"/>
      </w:pPr>
      <w:r>
        <w:t xml:space="preserve">    [1, null],</w:t>
      </w:r>
    </w:p>
    <w:p>
      <w:pPr>
        <w:pStyle w:val="ReportCode"/>
      </w:pPr>
      <w:r>
        <w:t xml:space="preserve">  ])('перевіряє суму %s біля нижньої межі', (total, code) =&gt; {</w:t>
      </w:r>
    </w:p>
    <w:p>
      <w:pPr>
        <w:pStyle w:val="ReportCode"/>
      </w:pPr>
      <w:r>
        <w:t xml:space="preserve">    if (code) {</w:t>
      </w:r>
    </w:p>
    <w:p>
      <w:pPr>
        <w:pStyle w:val="ReportCode"/>
      </w:pPr>
      <w:r>
        <w:t xml:space="preserve">      expect(() =&gt; calcInstallment(total, 3)).toThrow(</w:t>
      </w:r>
    </w:p>
    <w:p>
      <w:pPr>
        <w:pStyle w:val="ReportCode"/>
      </w:pPr>
      <w:r>
        <w:t xml:space="preserve">        expect.objectContaining({ code }),</w:t>
      </w:r>
    </w:p>
    <w:p>
      <w:pPr>
        <w:pStyle w:val="ReportCode"/>
      </w:pPr>
      <w:r>
        <w:t xml:space="preserve">      );</w:t>
      </w:r>
    </w:p>
    <w:p>
      <w:pPr>
        <w:pStyle w:val="ReportCode"/>
      </w:pPr>
      <w:r>
        <w:t xml:space="preserve">    } else {</w:t>
      </w:r>
    </w:p>
    <w:p>
      <w:pPr>
        <w:pStyle w:val="ReportCode"/>
      </w:pPr>
      <w:r>
        <w:t xml:space="preserve">      expect(calcInstallment(total, 3)).toBe(total === 0 ? 0 : 0.34);</w:t>
      </w:r>
    </w:p>
    <w:p>
      <w:pPr>
        <w:pStyle w:val="ReportCode"/>
      </w:pPr>
      <w:r>
        <w:t xml:space="preserve">    }</w:t>
      </w:r>
    </w:p>
    <w:p>
      <w:pPr>
        <w:pStyle w:val="ReportCode"/>
      </w:pPr>
      <w:r>
        <w:t xml:space="preserve">  });</w:t>
      </w:r>
    </w:p>
    <w:p>
      <w:pPr>
        <w:pStyle w:val="ReportCode"/>
      </w:pPr>
      <w:r>
        <w:t xml:space="preserve">  it('приймає від’ємний нуль і повертає додатний нуль', () =&gt; {</w:t>
      </w:r>
    </w:p>
    <w:p>
      <w:pPr>
        <w:pStyle w:val="ReportCode"/>
      </w:pPr>
      <w:r>
        <w:t xml:space="preserve">    expect(calcInstallment(-0, 3)).toBe(0);</w:t>
      </w:r>
    </w:p>
    <w:p>
      <w:pPr>
        <w:pStyle w:val="ReportCode"/>
      </w:pPr>
      <w:r>
        <w:t xml:space="preserve">  });</w:t>
      </w:r>
    </w:p>
    <w:p>
      <w:pPr>
        <w:pStyle w:val="ReportCode"/>
      </w:pPr>
      <w:r>
        <w:t xml:space="preserve">  it('спочатку повідомляє про некоректну суму, якщо обидва аргументи хибні', () =&gt; {</w:t>
      </w:r>
    </w:p>
    <w:p>
      <w:pPr>
        <w:pStyle w:val="ReportCode"/>
      </w:pPr>
      <w:r>
        <w:t xml:space="preserve">    expect(() =&gt; calcInstallment(-1, 9)).toThrow(</w:t>
      </w:r>
    </w:p>
    <w:p>
      <w:pPr>
        <w:pStyle w:val="ReportCode"/>
      </w:pPr>
      <w:r>
        <w:t xml:space="preserve">      expect.objectContaining({ code: 'INVALID_TOTAL' }),</w:t>
      </w:r>
    </w:p>
    <w:p>
      <w:pPr>
        <w:pStyle w:val="ReportCode"/>
      </w:pPr>
      <w:r>
        <w:t xml:space="preserve">    );</w:t>
      </w:r>
    </w:p>
    <w:p>
      <w:pPr>
        <w:pStyle w:val="ReportCode"/>
      </w:pPr>
      <w:r>
        <w:t xml:space="preserve">  });</w:t>
      </w:r>
    </w:p>
    <w:p>
      <w:pPr>
        <w:pStyle w:val="ReportCode"/>
      </w:pPr>
      <w:r>
        <w:t xml:space="preserve">  it.each([1e21, 1.2e21, Number.MAX_VALUE])(</w:t>
      </w:r>
    </w:p>
    <w:p>
      <w:pPr>
        <w:pStyle w:val="ReportCode"/>
      </w:pPr>
      <w:r>
        <w:t xml:space="preserve">    'відхиляє суму %s, коли платіж у копійках перевищує безпечний діапазон',</w:t>
      </w:r>
    </w:p>
    <w:p>
      <w:pPr>
        <w:pStyle w:val="ReportCode"/>
      </w:pPr>
      <w:r>
        <w:t xml:space="preserve">    (total) =&gt; {</w:t>
      </w:r>
    </w:p>
    <w:p>
      <w:pPr>
        <w:pStyle w:val="ReportCode"/>
      </w:pPr>
      <w:r>
        <w:t xml:space="preserve">      expect(() =&gt; calcInstallment(total, 3)).toThrow(</w:t>
      </w:r>
    </w:p>
    <w:p>
      <w:pPr>
        <w:pStyle w:val="ReportCode"/>
      </w:pPr>
      <w:r>
        <w:t xml:space="preserve">        expect.objectContaining({ code: 'INSTALLMENT_OUT_OF_RANGE' }),</w:t>
      </w:r>
    </w:p>
    <w:p>
      <w:pPr>
        <w:pStyle w:val="ReportCode"/>
      </w:pPr>
      <w:r>
        <w:t xml:space="preserve">      );</w:t>
      </w:r>
    </w:p>
    <w:p>
      <w:pPr>
        <w:pStyle w:val="ReportCode"/>
      </w:pPr>
      <w:r>
        <w:t xml:space="preserve">    },</w:t>
      </w:r>
    </w:p>
    <w:p>
      <w:pPr>
        <w:pStyle w:val="ReportCode"/>
      </w:pPr>
      <w:r>
        <w:t xml:space="preserve">  );</w:t>
      </w:r>
    </w:p>
    <w:p>
      <w:pPr>
        <w:pStyle w:val="ReportCode"/>
      </w:pPr>
      <w:r>
        <w:t>});</w:t>
      </w:r>
    </w:p>
    <w:p>
      <w:pPr>
        <w:pStyle w:val="ReportLabel"/>
      </w:pPr>
      <w:r>
        <w:t>Окрема перевірка покриття гілок</w:t>
      </w:r>
    </w:p>
    <w:p>
      <w:pPr>
        <w:pStyle w:val="ReportBody"/>
      </w:pPr>
      <w:r>
        <w:t>Команда npm run coverage:installment читає coverage/coverage-final.json, знаходить calcInstallment у fnMap та відбирає лише branchMap-лічильники всередині її діапазону рядків 98–128. Отримано 8 покритих лічильників із 8, тобто 100 %, що перевищує необхідні 90 %. Загальні Branches 28/28 для order.ts та 36/36 для всіх модулів наведено окремо. Допоміжна decimalFraction знаходиться поза діапазоном calcInstallment, а її гілки враховано в покритті всього модуля.</w:t>
      </w:r>
    </w:p>
    <w:p>
      <w:pPr>
        <w:pStyle w:val="ReportCaption"/>
        <w:keepNext/>
        <w:spacing w:before="120"/>
      </w:pPr>
      <w:r>
        <w:drawing>
          <wp:inline xmlns:a="http://schemas.openxmlformats.org/drawingml/2006/main" xmlns:pic="http://schemas.openxmlformats.org/drawingml/2006/picture">
            <wp:extent cx="5940000" cy="1632209"/>
            <wp:docPr id="9" name="Picture 9" descr="Окрема перевірка calcInstallment: 8/8 гілок, 100 %"/>
            <wp:cNvGraphicFramePr>
              <a:graphicFrameLocks noChangeAspect="1"/>
            </wp:cNvGraphicFramePr>
            <a:graphic>
              <a:graphicData uri="http://schemas.openxmlformats.org/drawingml/2006/picture">
                <pic:pic>
                  <pic:nvPicPr>
                    <pic:cNvPr id="0" name="installment.png"/>
                    <pic:cNvPicPr/>
                  </pic:nvPicPr>
                  <pic:blipFill>
                    <a:blip r:embed="rId18"/>
                    <a:stretch>
                      <a:fillRect/>
                    </a:stretch>
                  </pic:blipFill>
                  <pic:spPr>
                    <a:xfrm>
                      <a:off x="0" y="0"/>
                      <a:ext cx="5940000" cy="1632209"/>
                    </a:xfrm>
                    <a:prstGeom prst="rect"/>
                  </pic:spPr>
                </pic:pic>
              </a:graphicData>
            </a:graphic>
          </wp:inline>
        </w:drawing>
      </w:r>
    </w:p>
    <w:p>
      <w:pPr>
        <w:pStyle w:val="ReportCaption"/>
      </w:pPr>
      <w:r>
        <w:t>Рисунок 9 — Окрема перевірка calcInstallment: 8/8 гілок, 100 %</w:t>
      </w:r>
    </w:p>
    <w:p>
      <w:pPr>
        <w:pStyle w:val="ReportBody"/>
      </w:pPr>
      <w:r>
        <w:t>Скрипт припиняє виконання з помилкою, якщо файл, функція або лічильники відсутні чи результат нижчий за 90 %. Тому перевірка не зводиться до загального відсотка модуля. Первинні JSON-лічильники та журнал окремої команди збережено в output/lab2/evidence.</w:t>
      </w:r>
    </w:p>
    <w:p>
      <w:pPr>
        <w:pStyle w:val="ReportHeading"/>
      </w:pPr>
      <w:r>
        <w:t>7. Текст рецензії на роботу однокурсника</w:t>
      </w:r>
    </w:p>
    <w:p>
      <w:pPr>
        <w:pStyle w:val="ReportBody"/>
      </w:pPr>
      <w:r>
        <w:t>Статус: очікує виконання на основі реальної роботи однокурсника. Посилання на Pull Request однокурсника не надано; підтвердженого доступу до такої роботи немає. Рецензію не виконано, коментарі не опубліковано. Вигадані зауваження до невідомого коду не додаються.</w:t>
      </w:r>
    </w:p>
    <w:p>
      <w:pPr>
        <w:pStyle w:val="ReportBody"/>
      </w:pPr>
      <w:r>
        <w:t>Для завершення потрібно отримати доступний URL Pull Request однокурсника, прочитати реалізацію та тести і сформулювати щонайменше три змістовні коментарі з посиланнями на конкретні рядки. Перевіряються наявність межових тестів, незалежність очікувань від продуктової формули та відповідність матчерів типам даних. Також потрібно оцінити назви тестів, зміст тверджень і незалежність тестів. Після фактичного рецензування до цього розділу слід додати справжній текст зауважень та посилання на коментарі.</w:t>
      </w:r>
    </w:p>
    <w:p>
      <w:pPr>
        <w:pStyle w:val="ReportHeading"/>
      </w:pPr>
      <w:r>
        <w:t>8. Посилання на репозиторій і запит на злиття</w:t>
      </w:r>
    </w:p>
    <w:p>
      <w:pPr>
        <w:pStyle w:val="ReportBody"/>
      </w:pPr>
      <w:r>
        <w:t xml:space="preserve">Репозиторій: </w:t>
      </w:r>
      <w:hyperlink r:id="rId19">
        <w:r>
          <w:rPr>
            <w:color w:val="000000"/>
          </w:rPr>
          <w:t>https://github.com/milunchik/testing</w:t>
        </w:r>
      </w:hyperlink>
    </w:p>
    <w:p>
      <w:pPr>
        <w:pStyle w:val="ReportBody"/>
      </w:pPr>
      <w:r>
        <w:t>Фактичний origin для fetch і push: git@github.com:milunchik/testing.git. Поточна гілка: feature/lab2-vitest-installment. Початковий HEAD: 7e03d07bdf0c79b4cf3e0838ebfae55b1c1d544f. Перевірену реалізацію та 54 нові тести опубліковано комітом 25fcb2080128cb52a4c9efb701fc729102f71c46; фінальні матеріали звіту додано окремим комітом тієї самої гілки.</w:t>
      </w:r>
    </w:p>
    <w:p>
      <w:pPr>
        <w:pStyle w:val="ReportBody"/>
      </w:pPr>
      <w:r>
        <w:t>Перша перевірка SSH завершилася повідомленням «Permission denied (publickey)». Додаткова перевірка HTTPS підтвердила авторизацію облікового запису milunchik і право push. Гілку опубліковано через HTTPS без зміни origin; через GitHub API створено відкритий Pull Request №2.</w:t>
      </w:r>
    </w:p>
    <w:p>
      <w:pPr>
        <w:pStyle w:val="ReportBody"/>
      </w:pPr>
      <w:r>
        <w:t xml:space="preserve">Pull Request: </w:t>
      </w:r>
      <w:hyperlink r:id="rId20">
        <w:r>
          <w:rPr>
            <w:color w:val="000000"/>
          </w:rPr>
          <w:t>https://github.com/milunchik/testing/pull/2</w:t>
        </w:r>
      </w:hyperlink>
    </w:p>
    <w:p>
      <w:pPr>
        <w:pStyle w:val="ReportBody"/>
      </w:pPr>
      <w:r>
        <w:t>Базова гілка PR — feature/calculate-average: вона містить попередню лабораторну роботу у власному PR №1. Така база відокремлює зміни лабораторної №2 та зберігає попередні тести. Злиття PR №1 або №2 не виконувалося. Підтверджені GitHub-дані, статус гілки та URL збережено в output/lab2/evidence/github-access.json і pull-request.json. Єдиний незавершений зовнішній етап — рецензія на реальний PR однокурсника.</w:t>
      </w:r>
    </w:p>
    <w:p>
      <w:pPr>
        <w:pStyle w:val="ReportHeading"/>
      </w:pPr>
      <w:r>
        <w:t>9. Висновки</w:t>
      </w:r>
    </w:p>
    <w:p>
      <w:pPr>
        <w:pStyle w:val="ReportBody"/>
        <w:keepLines/>
      </w:pPr>
      <w:r>
        <w:t>Під час лабораторної роботи доповнено модуль розрахунку замовлення чотирма функціями показового прикладу відповідно до оригінальної методички та перевірено індивідуальну функцію calcInstallment для варіанта 12. Тестові дані дібрано за класами еквівалентності, межовими значеннями й некоректними входами; використано параметризовані тести, незалежні числові еталони та перевірки винятків. Усі 145 тестів пройшли, зокрема збережені тести попередньої лабораторної роботи. Покриття коду становить 100 % за чотирма метриками; окреме покриття гілок calcInstallment — 100 % (8/8). Перевірки ESLint, TypeScript і Prettier завершилися успішно.</w:t>
      </w:r>
    </w:p>
    <w:p>
      <w:pPr>
        <w:pStyle w:val="ReportBody"/>
      </w:pPr>
      <w:r>
        <w:t>Експеримент із викликом calcOrderTotal без твердження тимчасово збільшив кількість тестів до 146, але не змінив покриття. Це підтвердило, що виконання коду не перевіряє правильність результату без змістовного твердження. Тимчасовий тест видалено, фінальний стан перевірено повторно. Звіт оновлено реальними доказами виконання, а зміни опубліковано в Pull Request №2. Рецензування однокурсника залишається незавершеним зовнішнім етапом і потребує доступу до його справжнього Pull Request.</w:t>
      </w:r>
    </w:p>
    <w:sectPr w:rsidR="0064592A" w:rsidRPr="003E4A0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A06"/>
    <w:rsid w:val="00077C98"/>
    <w:rsid w:val="003E4A06"/>
    <w:rsid w:val="0064592A"/>
    <w:rsid w:val="00E17A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EDE07"/>
  <w15:chartTrackingRefBased/>
  <w15:docId w15:val="{BB8C9038-3A39-411D-B9E5-3CC0035BE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A06"/>
    <w:pPr>
      <w:spacing w:after="200" w:line="276" w:lineRule="auto"/>
    </w:pPr>
    <w:rPr>
      <w:rFonts w:ascii="Times New Roman" w:eastAsia="Times New Roman" w:hAnsi="Times New Roman"/>
      <w:color w:val="000000"/>
      <w:sz w:val="28"/>
      <w:lang w:val="en-US"/>
    </w:rPr>
  </w:style>
  <w:style w:type="paragraph" w:styleId="Heading2">
    <w:name w:val="heading 2"/>
    <w:link w:val="Heading2Char"/>
    <w:uiPriority w:val="9"/>
    <w:unhideWhenUsed/>
    <w:qFormat/>
    <w:rsid w:val="003E4A06"/>
    <w:pPr>
      <w:spacing w:after="0" w:line="240" w:lineRule="auto"/>
      <w:outlineLvl w:val="1"/>
    </w:pPr>
    <w:rPr>
      <w:rFonts w:ascii="Times New Roman" w:eastAsia="Times New Roman" w:hAnsi="Times New Roman" w:cs="Times New Roman"/>
      <w:color w:val="2E74B5"/>
      <w:sz w:val="26"/>
      <w:szCs w:val="2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4A06"/>
    <w:rPr>
      <w:rFonts w:ascii="Times New Roman" w:eastAsia="Times New Roman" w:hAnsi="Times New Roman" w:cs="Times New Roman"/>
      <w:color w:val="2E74B5"/>
      <w:sz w:val="26"/>
      <w:szCs w:val="26"/>
      <w:lang w:eastAsia="en-GB"/>
    </w:rPr>
  </w:style>
  <w:style w:type="paragraph" w:customStyle="1" w:styleId="ReportBody">
    <w:name w:val="ReportBody"/>
    <w:basedOn w:val="Normal"/>
    <w:pPr>
      <w:widowControl/>
      <w:spacing w:line="360" w:lineRule="auto" w:before="0" w:after="80"/>
      <w:ind w:firstLine="709"/>
      <w:jc w:val="both"/>
    </w:pPr>
    <w:rPr>
      <w:rFonts w:ascii="Times New Roman" w:hAnsi="Times New Roman" w:eastAsia="Times New Roman"/>
      <w:color w:val="000000"/>
      <w:sz w:val="28"/>
    </w:rPr>
  </w:style>
  <w:style w:type="paragraph" w:customStyle="1" w:styleId="ReportHeading">
    <w:name w:val="ReportHeading"/>
    <w:basedOn w:val="Normal"/>
    <w:pPr>
      <w:keepNext/>
      <w:keepLines/>
      <w:widowControl/>
      <w:spacing w:line="360" w:lineRule="auto" w:before="200" w:after="80"/>
      <w:ind w:firstLine="0"/>
      <w:jc w:val="left"/>
      <w:outlineLvl w:val="0"/>
    </w:pPr>
    <w:rPr>
      <w:rFonts w:ascii="Times New Roman" w:hAnsi="Times New Roman" w:eastAsia="Times New Roman"/>
      <w:b/>
      <w:color w:val="000000"/>
      <w:sz w:val="28"/>
    </w:rPr>
  </w:style>
  <w:style w:type="paragraph" w:customStyle="1" w:styleId="ReportLabel">
    <w:name w:val="ReportLabel"/>
    <w:basedOn w:val="Normal"/>
    <w:pPr>
      <w:keepNext/>
      <w:widowControl/>
      <w:spacing w:line="360" w:lineRule="auto" w:before="120" w:after="80"/>
      <w:ind w:firstLine="0"/>
      <w:jc w:val="left"/>
    </w:pPr>
    <w:rPr>
      <w:rFonts w:ascii="Times New Roman" w:hAnsi="Times New Roman" w:eastAsia="Times New Roman"/>
      <w:b/>
      <w:color w:val="000000"/>
      <w:sz w:val="28"/>
    </w:rPr>
  </w:style>
  <w:style w:type="paragraph" w:customStyle="1" w:styleId="ReportCode">
    <w:name w:val="ReportCode"/>
    <w:basedOn w:val="Normal"/>
    <w:pPr>
      <w:keepLines/>
      <w:widowControl/>
      <w:spacing w:line="360" w:lineRule="auto" w:before="0" w:after="0"/>
      <w:ind w:firstLine="0"/>
      <w:jc w:val="left"/>
    </w:pPr>
    <w:rPr>
      <w:rFonts w:ascii="Times New Roman" w:hAnsi="Times New Roman" w:eastAsia="Times New Roman"/>
      <w:color w:val="000000"/>
      <w:sz w:val="28"/>
    </w:rPr>
  </w:style>
  <w:style w:type="paragraph" w:customStyle="1" w:styleId="ReportCaption">
    <w:name w:val="ReportCaption"/>
    <w:basedOn w:val="Normal"/>
    <w:pPr>
      <w:keepLines/>
      <w:widowControl/>
      <w:spacing w:line="360" w:lineRule="auto" w:before="0" w:after="80"/>
      <w:ind w:firstLine="0"/>
      <w:jc w:val="center"/>
    </w:pPr>
    <w:rPr>
      <w:rFonts w:ascii="Times New Roman" w:hAnsi="Times New Roman" w:eastAsia="Times New Roman"/>
      <w:color w:val="000000"/>
      <w:sz w:val="28"/>
    </w:rPr>
  </w:style>
  <w:style w:type="paragraph" w:customStyle="1" w:styleId="ReportCell">
    <w:name w:val="ReportCell"/>
    <w:basedOn w:val="Normal"/>
    <w:pPr>
      <w:widowControl/>
      <w:spacing w:line="360" w:lineRule="auto" w:before="0" w:after="0"/>
      <w:ind w:firstLine="0"/>
      <w:jc w:val="left"/>
    </w:pPr>
    <w:rPr>
      <w:rFonts w:ascii="Times New Roman" w:hAnsi="Times New Roman" w:eastAsia="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theme" Target="theme/theme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hyperlink" Target="https://github.com/milunchik/testing" TargetMode="External"/><Relationship Id="rId20" Type="http://schemas.openxmlformats.org/officeDocument/2006/relationships/hyperlink" Target="https://github.com/milunchik/testing/pull/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108</Words>
  <Characters>621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c:creator>
  <cp:keywords/>
  <dc:description/>
  <cp:lastModifiedBy>Mila</cp:lastModifiedBy>
  <cp:revision>1</cp:revision>
  <dcterms:created xsi:type="dcterms:W3CDTF">2026-10-18T19:38:00Z</dcterms:created>
  <dcterms:modified xsi:type="dcterms:W3CDTF">2026-10-18T20:25:00Z</dcterms:modified>
</cp:coreProperties>
</file>