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ind w:firstLine="0"/>
        <w:jc w:val="center"/>
      </w:pPr>
      <w:r>
        <w:rPr>
          <w:b w:val="0"/>
        </w:rPr>
        <w:t>МІНІСТЕРСТВО ОСВІТИ І НАУКИ УКРАЇНИ</w:t>
      </w:r>
    </w:p>
    <w:p>
      <w:pPr>
        <w:keepNext w:val="0"/>
        <w:ind w:firstLine="0"/>
        <w:jc w:val="center"/>
      </w:pPr>
      <w:r>
        <w:rPr>
          <w:b w:val="0"/>
        </w:rPr>
        <w:t>ДЕРЖАВНИЙ ВИЩИЙ НАВЧАЛЬНИЙ ЗАКЛАД</w:t>
      </w:r>
    </w:p>
    <w:p>
      <w:pPr>
        <w:keepNext w:val="0"/>
        <w:ind w:firstLine="0"/>
        <w:jc w:val="center"/>
      </w:pPr>
      <w:r>
        <w:rPr>
          <w:b w:val="0"/>
        </w:rPr>
        <w:t>«УЖГОРОДСЬКИЙ НАЦІОНАЛЬНИЙ УНІВЕРСИТЕТ»</w:t>
      </w:r>
    </w:p>
    <w:p>
      <w:pPr>
        <w:keepNext w:val="0"/>
        <w:ind w:firstLine="0"/>
        <w:jc w:val="center"/>
      </w:pPr>
      <w:r>
        <w:rPr>
          <w:b w:val="0"/>
        </w:rPr>
        <w:t>ФАКУЛЬТЕТ ІНФОРМАЦІЙНИХ ТЕХНОЛОГІЙ</w:t>
      </w:r>
    </w:p>
    <w:p>
      <w:pPr>
        <w:keepNext w:val="0"/>
        <w:ind w:firstLine="0"/>
        <w:jc w:val="center"/>
      </w:pPr>
      <w:r>
        <w:rPr>
          <w:b w:val="0"/>
        </w:rPr>
        <w:t>КАФЕДРА ПРОГРАМНОГО ЗАБЕЗПЕЧЕННЯ СИСТЕМ</w:t>
      </w:r>
    </w:p>
    <w:p>
      <w:pPr>
        <w:pStyle w:val="Title"/>
        <w:spacing w:before="2600"/>
        <w:jc w:val="center"/>
      </w:pPr>
      <w:r>
        <w:rPr>
          <w:b/>
        </w:rPr>
        <w:t>Лабораторна робота №3</w:t>
      </w:r>
    </w:p>
    <w:p>
      <w:pPr>
        <w:keepNext w:val="0"/>
        <w:ind w:firstLine="0"/>
        <w:jc w:val="center"/>
      </w:pPr>
      <w:r>
        <w:rPr>
          <w:b w:val="0"/>
        </w:rPr>
        <w:t>Практикум із розроблення через тестування</w:t>
        <w:br/>
        <w:t>Цикл Red – Green – Refactor</w:t>
      </w:r>
    </w:p>
    <w:p>
      <w:pPr>
        <w:keepNext w:val="0"/>
        <w:ind w:firstLine="0"/>
        <w:jc w:val="center"/>
      </w:pPr>
      <w:r>
        <w:rPr>
          <w:b w:val="0"/>
        </w:rPr>
        <w:t>Варіант №12</w:t>
        <w:br/>
        <w:t>Розрахунок вартості страховки</w:t>
      </w:r>
    </w:p>
    <w:p>
      <w:pPr>
        <w:keepNext w:val="0"/>
        <w:spacing w:before="2000"/>
        <w:ind w:firstLine="0" w:left="5102"/>
        <w:jc w:val="left"/>
      </w:pPr>
      <w:r>
        <w:rPr>
          <w:b w:val="0"/>
        </w:rPr>
        <w:t>Виконала:</w:t>
        <w:br/>
        <w:t>Студентка 4 курсу</w:t>
        <w:br/>
        <w:t>Денної форми навчання</w:t>
        <w:br/>
        <w:t>Групи ІПЗ-1</w:t>
        <w:br/>
        <w:t>Граб Емілія Володимирівна</w:t>
      </w:r>
    </w:p>
    <w:p>
      <w:r>
        <w:br w:type="page"/>
      </w:r>
    </w:p>
    <w:p>
      <w:pPr>
        <w:pStyle w:val="Heading1"/>
      </w:pPr>
      <w:r>
        <w:t>1 Мета роботи та індивідуальний варіант</w:t>
      </w:r>
    </w:p>
    <w:p>
      <w:pPr>
        <w:keepNext w:val="0"/>
      </w:pPr>
      <w:r>
        <w:rPr>
          <w:b w:val="0"/>
        </w:rPr>
        <w:t>Мета роботи – опанувати розроблення через тестування, реалізувати модулі з нуля за циклом Red – Green – Refactor, фіксувати кожний етап окремим комітом та виконувати рефакторинг під захистом тестів.</w:t>
      </w:r>
    </w:p>
    <w:p>
      <w:pPr>
        <w:keepNext w:val="0"/>
      </w:pPr>
      <w:r>
        <w:rPr>
          <w:b w:val="0"/>
        </w:rPr>
        <w:t>Виконано показовий тарифікатор паркування та індивідуальний варіант №12 – калькулятор вартості страховки. Підсумковий набір містить 254 успішні тести; покриття гілок страхування становить 100%. Реальна історія містить 16 завершених циклів TDD, по вісім для кожного модуля.</w:t>
      </w:r>
    </w:p>
    <w:p>
      <w:pPr>
        <w:keepNext w:val="0"/>
      </w:pPr>
      <w:r>
        <w:rPr>
          <w:b w:val="0"/>
        </w:rPr>
        <w:t>Основне джерело – повний файл «Лабораторна 3_Практикум TDD.docx». Його витяг збережено у report/lab3/evidence/methodology.txt, а контрольну суму – у methodology-sha256.txt. Числові припущення для страхування нижче відокремлено від прямих вимог методички.</w:t>
      </w:r>
    </w:p>
    <w:p>
      <w:pPr>
        <w:keepNext w:val="0"/>
      </w:pPr>
      <w:r>
        <w:rPr>
          <w:b w:val="0"/>
        </w:rPr>
        <w:t>До початку змін робоче дерево було чистим; вихідна гілка – feature/lab2-vitest-installment, коміт 3219dc2. Створено feature/lab3-tdd-insurance. Початкові 145 тестів лабораторних №1 і №2 проходили; їхні вихідні файли та тести не змінено. Середовище: TypeScript 5.8, Vitest 5.0.3, покриття V8, ESLint і Prettier.</w:t>
      </w:r>
    </w:p>
    <w:p>
      <w:pPr>
        <w:pStyle w:val="Heading1"/>
      </w:pPr>
      <w:r>
        <w:t>2 Розбиття специфікації на вимоги</w:t>
      </w:r>
    </w:p>
    <w:p>
      <w:pPr>
        <w:pStyle w:val="Heading2"/>
      </w:pPr>
      <w:r>
        <w:t>2.1 Явні вимоги та прийняті припущення</w:t>
      </w:r>
    </w:p>
    <w:p>
      <w:pPr>
        <w:keepNext w:val="0"/>
      </w:pPr>
      <w:r>
        <w:rPr>
          <w:b w:val="0"/>
        </w:rPr>
        <w:t>Методичка задає базовий тариф залежно від віку авто, надбавку за стажу водія менше трьох років та знижку за безаварійність до 30%. Ціни, категорії віку, величину надбавки й спосіб накопичення знижки не задано. Наведені далі тарифи є навчальними припущеннями автора.</w:t>
      </w:r>
    </w:p>
    <w:p>
      <w:pPr>
        <w:keepNext/>
        <w:spacing w:before="120"/>
        <w:ind w:firstLine="0"/>
        <w:jc w:val="center"/>
      </w:pPr>
      <w:r>
        <w:rPr>
          <w:b w:val="0"/>
        </w:rPr>
        <w:t>Таблиця 1 – Політика страхового калькулятора</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370"/>
      </w:tblGrid>
      <w:tr>
        <w:trPr>
          <w:cantSplit/>
          <w:tblHeader/>
        </w:trPr>
        <w:tc>
          <w:tcPr>
            <w:tcW w:type="dxa" w:w="2268"/>
            <w:vAlign w:val="center"/>
          </w:tcPr>
          <w:p>
            <w:pPr>
              <w:spacing w:before="60" w:after="60"/>
              <w:ind w:firstLine="0"/>
              <w:jc w:val="center"/>
            </w:pPr>
            <w:r>
              <w:rPr>
                <w:b w:val="0"/>
              </w:rPr>
              <w:t>Параметр</w:t>
            </w:r>
          </w:p>
        </w:tc>
        <w:tc>
          <w:tcPr>
            <w:tcW w:type="dxa" w:w="7370"/>
            <w:vAlign w:val="center"/>
          </w:tcPr>
          <w:p>
            <w:pPr>
              <w:spacing w:before="60" w:after="60"/>
              <w:ind w:firstLine="0"/>
              <w:jc w:val="left"/>
            </w:pPr>
            <w:r>
              <w:rPr>
                <w:b w:val="0"/>
              </w:rPr>
              <w:t>Правило та походження</w:t>
            </w:r>
          </w:p>
        </w:tc>
      </w:tr>
      <w:tr>
        <w:trPr>
          <w:cantSplit/>
        </w:trPr>
        <w:tc>
          <w:tcPr>
            <w:tcW w:type="dxa" w:w="2268"/>
            <w:vAlign w:val="center"/>
          </w:tcPr>
          <w:p>
            <w:pPr>
              <w:spacing w:before="60" w:after="60"/>
              <w:ind w:firstLine="0"/>
              <w:jc w:val="center"/>
            </w:pPr>
            <w:r>
              <w:rPr>
                <w:b w:val="0"/>
              </w:rPr>
              <w:t>Базова ціна</w:t>
            </w:r>
          </w:p>
        </w:tc>
        <w:tc>
          <w:tcPr>
            <w:tcW w:type="dxa" w:w="7370"/>
            <w:vAlign w:val="center"/>
          </w:tcPr>
          <w:p>
            <w:pPr>
              <w:spacing w:before="60" w:after="60"/>
              <w:ind w:firstLine="0"/>
              <w:jc w:val="left"/>
            </w:pPr>
            <w:r>
              <w:rPr>
                <w:b w:val="0"/>
              </w:rPr>
              <w:t>Припущення: 0–3 повні роки – 3000 грн; 4–10 – 4000 грн; 11+ – 5000 грн.</w:t>
            </w:r>
          </w:p>
        </w:tc>
      </w:tr>
      <w:tr>
        <w:trPr>
          <w:cantSplit/>
        </w:trPr>
        <w:tc>
          <w:tcPr>
            <w:tcW w:type="dxa" w:w="2268"/>
            <w:vAlign w:val="center"/>
          </w:tcPr>
          <w:p>
            <w:pPr>
              <w:spacing w:before="60" w:after="60"/>
              <w:ind w:firstLine="0"/>
              <w:jc w:val="center"/>
            </w:pPr>
            <w:r>
              <w:rPr>
                <w:b w:val="0"/>
              </w:rPr>
              <w:t>Стаж</w:t>
            </w:r>
          </w:p>
        </w:tc>
        <w:tc>
          <w:tcPr>
            <w:tcW w:type="dxa" w:w="7370"/>
            <w:vAlign w:val="center"/>
          </w:tcPr>
          <w:p>
            <w:pPr>
              <w:spacing w:before="60" w:after="60"/>
              <w:ind w:firstLine="0"/>
              <w:jc w:val="left"/>
            </w:pPr>
            <w:r>
              <w:rPr>
                <w:b w:val="0"/>
              </w:rPr>
              <w:t>Вимога: надбавка за стажу &lt;3 років. Припущення: надбавка 25%; дробові роки дозволено.</w:t>
            </w:r>
          </w:p>
        </w:tc>
      </w:tr>
      <w:tr>
        <w:trPr>
          <w:cantSplit/>
        </w:trPr>
        <w:tc>
          <w:tcPr>
            <w:tcW w:type="dxa" w:w="2268"/>
            <w:vAlign w:val="center"/>
          </w:tcPr>
          <w:p>
            <w:pPr>
              <w:spacing w:before="60" w:after="60"/>
              <w:ind w:firstLine="0"/>
              <w:jc w:val="center"/>
            </w:pPr>
            <w:r>
              <w:rPr>
                <w:b w:val="0"/>
              </w:rPr>
              <w:t>Безаварійність</w:t>
            </w:r>
          </w:p>
        </w:tc>
        <w:tc>
          <w:tcPr>
            <w:tcW w:type="dxa" w:w="7370"/>
            <w:vAlign w:val="center"/>
          </w:tcPr>
          <w:p>
            <w:pPr>
              <w:spacing w:before="60" w:after="60"/>
              <w:ind w:firstLine="0"/>
              <w:jc w:val="left"/>
            </w:pPr>
            <w:r>
              <w:rPr>
                <w:b w:val="0"/>
              </w:rPr>
              <w:t>Вимога: знижка максимум 30%. Припущення: передається вже встановлене право на знижку у відсотках; нарахування права поза модулем.</w:t>
            </w:r>
          </w:p>
        </w:tc>
      </w:tr>
      <w:tr>
        <w:trPr>
          <w:cantSplit/>
        </w:trPr>
        <w:tc>
          <w:tcPr>
            <w:tcW w:type="dxa" w:w="2268"/>
            <w:vAlign w:val="center"/>
          </w:tcPr>
          <w:p>
            <w:pPr>
              <w:spacing w:before="60" w:after="60"/>
              <w:ind w:firstLine="0"/>
              <w:jc w:val="center"/>
            </w:pPr>
            <w:r>
              <w:rPr>
                <w:b w:val="0"/>
              </w:rPr>
              <w:t>Знижка</w:t>
            </w:r>
          </w:p>
        </w:tc>
        <w:tc>
          <w:tcPr>
            <w:tcW w:type="dxa" w:w="7370"/>
            <w:vAlign w:val="center"/>
          </w:tcPr>
          <w:p>
            <w:pPr>
              <w:spacing w:before="60" w:after="60"/>
              <w:ind w:firstLine="0"/>
              <w:jc w:val="left"/>
            </w:pPr>
            <w:r>
              <w:rPr>
                <w:b w:val="0"/>
              </w:rPr>
              <w:t>Необов’язковий невід’ємний скінченний відсоток, типово 0; дробові та більші за 30 значення дозволено, діє обмеження 30.</w:t>
            </w:r>
          </w:p>
        </w:tc>
      </w:tr>
      <w:tr>
        <w:trPr>
          <w:cantSplit/>
        </w:trPr>
        <w:tc>
          <w:tcPr>
            <w:tcW w:type="dxa" w:w="2268"/>
            <w:vAlign w:val="center"/>
          </w:tcPr>
          <w:p>
            <w:pPr>
              <w:spacing w:before="60" w:after="60"/>
              <w:ind w:firstLine="0"/>
              <w:jc w:val="center"/>
            </w:pPr>
            <w:r>
              <w:rPr>
                <w:b w:val="0"/>
              </w:rPr>
              <w:t>Порядок</w:t>
            </w:r>
          </w:p>
        </w:tc>
        <w:tc>
          <w:tcPr>
            <w:tcW w:type="dxa" w:w="7370"/>
            <w:vAlign w:val="center"/>
          </w:tcPr>
          <w:p>
            <w:pPr>
              <w:spacing w:before="60" w:after="60"/>
              <w:ind w:firstLine="0"/>
              <w:jc w:val="left"/>
            </w:pPr>
            <w:r>
              <w:rPr>
                <w:b w:val="0"/>
              </w:rPr>
              <w:t>Базова ціна → надбавка → знижка від збільшеної суми → округлення до копійок, половина вгору.</w:t>
            </w:r>
          </w:p>
        </w:tc>
      </w:tr>
      <w:tr>
        <w:trPr>
          <w:cantSplit/>
        </w:trPr>
        <w:tc>
          <w:tcPr>
            <w:tcW w:type="dxa" w:w="2268"/>
            <w:vAlign w:val="center"/>
          </w:tcPr>
          <w:p>
            <w:pPr>
              <w:spacing w:before="60" w:after="60"/>
              <w:ind w:firstLine="0"/>
              <w:jc w:val="center"/>
            </w:pPr>
            <w:r>
              <w:rPr>
                <w:b w:val="0"/>
              </w:rPr>
              <w:t>Валідація</w:t>
            </w:r>
          </w:p>
        </w:tc>
        <w:tc>
          <w:tcPr>
            <w:tcW w:type="dxa" w:w="7370"/>
            <w:vAlign w:val="center"/>
          </w:tcPr>
          <w:p>
            <w:pPr>
              <w:spacing w:before="60" w:after="60"/>
              <w:ind w:firstLine="0"/>
              <w:jc w:val="left"/>
            </w:pPr>
            <w:r>
              <w:rPr>
                <w:b w:val="0"/>
              </w:rPr>
              <w:t>Вік – невід’ємне безпечне ціле число; стаж і знижка – скінченні невід’ємні числа. Помилки RangeError з кодом відповідного поля.</w:t>
            </w:r>
          </w:p>
        </w:tc>
      </w:tr>
    </w:tbl>
    <w:p>
      <w:pPr>
        <w:keepNext w:val="0"/>
      </w:pPr>
      <w:r>
        <w:rPr>
          <w:b w:val="0"/>
        </w:rPr>
        <w:t>Контракт: calcInsuranceCost({ vehicleAge, driverExperience, accidentFreeDiscountPercent? }): number. Усі бізнесові ціни, межі та ставки мають іменовані константи. Значення 10 і 25% не приписуються методичці; безпосередньо заданими є лише межа стажу 3 роки та максимум знижки 30%.</w:t>
      </w:r>
    </w:p>
    <w:p>
      <w:pPr>
        <w:keepNext/>
        <w:spacing w:before="120"/>
        <w:ind w:firstLine="0"/>
        <w:jc w:val="center"/>
      </w:pPr>
      <w:r>
        <w:rPr>
          <w:b w:val="0"/>
        </w:rPr>
        <w:t>Таблиця 2 – Вимоги варіанта №12 у порядку реалізації</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0"/>
        <w:gridCol w:w="3402"/>
        <w:gridCol w:w="5386"/>
      </w:tblGrid>
      <w:tr>
        <w:trPr>
          <w:cantSplit/>
          <w:tblHeader/>
        </w:trPr>
        <w:tc>
          <w:tcPr>
            <w:tcW w:type="dxa" w:w="850"/>
            <w:vAlign w:val="center"/>
          </w:tcPr>
          <w:p>
            <w:pPr>
              <w:spacing w:before="60" w:after="60"/>
              <w:ind w:firstLine="0"/>
              <w:jc w:val="center"/>
            </w:pPr>
            <w:r>
              <w:rPr>
                <w:b w:val="0"/>
              </w:rPr>
              <w:t>Цикл</w:t>
            </w:r>
          </w:p>
        </w:tc>
        <w:tc>
          <w:tcPr>
            <w:tcW w:type="dxa" w:w="3402"/>
            <w:vAlign w:val="center"/>
          </w:tcPr>
          <w:p>
            <w:pPr>
              <w:spacing w:before="60" w:after="60"/>
              <w:ind w:firstLine="0"/>
              <w:jc w:val="left"/>
            </w:pPr>
            <w:r>
              <w:rPr>
                <w:b w:val="0"/>
              </w:rPr>
              <w:t>Нова вимога</w:t>
            </w:r>
          </w:p>
        </w:tc>
        <w:tc>
          <w:tcPr>
            <w:tcW w:type="dxa" w:w="5386"/>
            <w:vAlign w:val="center"/>
          </w:tcPr>
          <w:p>
            <w:pPr>
              <w:spacing w:before="60" w:after="60"/>
              <w:ind w:firstLine="0"/>
              <w:jc w:val="left"/>
            </w:pPr>
            <w:r>
              <w:rPr>
                <w:b w:val="0"/>
              </w:rPr>
              <w:t>Фактичний Red та Green</w:t>
            </w:r>
          </w:p>
        </w:tc>
      </w:tr>
      <w:tr>
        <w:trPr>
          <w:cantSplit/>
        </w:trPr>
        <w:tc>
          <w:tcPr>
            <w:tcW w:type="dxa" w:w="850"/>
            <w:vAlign w:val="center"/>
          </w:tcPr>
          <w:p>
            <w:pPr>
              <w:spacing w:before="60" w:after="60"/>
              <w:ind w:firstLine="0"/>
              <w:jc w:val="center"/>
            </w:pPr>
            <w:r>
              <w:rPr>
                <w:b w:val="0"/>
              </w:rPr>
              <w:t>1</w:t>
            </w:r>
          </w:p>
        </w:tc>
        <w:tc>
          <w:tcPr>
            <w:tcW w:type="dxa" w:w="3402"/>
            <w:vAlign w:val="center"/>
          </w:tcPr>
          <w:p>
            <w:pPr>
              <w:spacing w:before="60" w:after="60"/>
              <w:ind w:firstLine="0"/>
              <w:jc w:val="left"/>
            </w:pPr>
            <w:r>
              <w:rPr>
                <w:b w:val="0"/>
              </w:rPr>
              <w:t>Валідація віку, стажу й відсотка</w:t>
            </w:r>
          </w:p>
        </w:tc>
        <w:tc>
          <w:tcPr>
            <w:tcW w:type="dxa" w:w="5386"/>
            <w:vAlign w:val="center"/>
          </w:tcPr>
          <w:p>
            <w:pPr>
              <w:spacing w:before="60" w:after="60"/>
              <w:ind w:firstLine="0"/>
              <w:jc w:val="left"/>
            </w:pPr>
            <w:r>
              <w:rPr>
                <w:b w:val="0"/>
              </w:rPr>
              <w:t>Відсутній модуль; після Green – 202 тести.</w:t>
            </w:r>
          </w:p>
        </w:tc>
      </w:tr>
      <w:tr>
        <w:trPr>
          <w:cantSplit/>
        </w:trPr>
        <w:tc>
          <w:tcPr>
            <w:tcW w:type="dxa" w:w="850"/>
            <w:vAlign w:val="center"/>
          </w:tcPr>
          <w:p>
            <w:pPr>
              <w:spacing w:before="60" w:after="60"/>
              <w:ind w:firstLine="0"/>
              <w:jc w:val="center"/>
            </w:pPr>
            <w:r>
              <w:rPr>
                <w:b w:val="0"/>
              </w:rPr>
              <w:t>2</w:t>
            </w:r>
          </w:p>
        </w:tc>
        <w:tc>
          <w:tcPr>
            <w:tcW w:type="dxa" w:w="3402"/>
            <w:vAlign w:val="center"/>
          </w:tcPr>
          <w:p>
            <w:pPr>
              <w:spacing w:before="60" w:after="60"/>
              <w:ind w:firstLine="0"/>
              <w:jc w:val="left"/>
            </w:pPr>
            <w:r>
              <w:rPr>
                <w:b w:val="0"/>
              </w:rPr>
              <w:t>Базова ціна першої категорії 3000 грн</w:t>
            </w:r>
          </w:p>
        </w:tc>
        <w:tc>
          <w:tcPr>
            <w:tcW w:type="dxa" w:w="5386"/>
            <w:vAlign w:val="center"/>
          </w:tcPr>
          <w:p>
            <w:pPr>
              <w:spacing w:before="60" w:after="60"/>
              <w:ind w:firstLine="0"/>
              <w:jc w:val="left"/>
            </w:pPr>
            <w:r>
              <w:rPr>
                <w:b w:val="0"/>
              </w:rPr>
              <w:t>Замість 3000 отримано 0; Green – 206.</w:t>
            </w:r>
          </w:p>
        </w:tc>
      </w:tr>
      <w:tr>
        <w:trPr>
          <w:cantSplit/>
        </w:trPr>
        <w:tc>
          <w:tcPr>
            <w:tcW w:type="dxa" w:w="850"/>
            <w:vAlign w:val="center"/>
          </w:tcPr>
          <w:p>
            <w:pPr>
              <w:spacing w:before="60" w:after="60"/>
              <w:ind w:firstLine="0"/>
              <w:jc w:val="center"/>
            </w:pPr>
            <w:r>
              <w:rPr>
                <w:b w:val="0"/>
              </w:rPr>
              <w:t>3</w:t>
            </w:r>
          </w:p>
        </w:tc>
        <w:tc>
          <w:tcPr>
            <w:tcW w:type="dxa" w:w="3402"/>
            <w:vAlign w:val="center"/>
          </w:tcPr>
          <w:p>
            <w:pPr>
              <w:spacing w:before="60" w:after="60"/>
              <w:ind w:firstLine="0"/>
              <w:jc w:val="left"/>
            </w:pPr>
            <w:r>
              <w:rPr>
                <w:b w:val="0"/>
              </w:rPr>
              <w:t>Категорії 4–10 та 11+ років</w:t>
            </w:r>
          </w:p>
        </w:tc>
        <w:tc>
          <w:tcPr>
            <w:tcW w:type="dxa" w:w="5386"/>
            <w:vAlign w:val="center"/>
          </w:tcPr>
          <w:p>
            <w:pPr>
              <w:spacing w:before="60" w:after="60"/>
              <w:ind w:firstLine="0"/>
              <w:jc w:val="left"/>
            </w:pPr>
            <w:r>
              <w:rPr>
                <w:b w:val="0"/>
              </w:rPr>
              <w:t>Отримано 3000 замість 4000/5000; Green – 213.</w:t>
            </w:r>
          </w:p>
        </w:tc>
      </w:tr>
      <w:tr>
        <w:trPr>
          <w:cantSplit/>
        </w:trPr>
        <w:tc>
          <w:tcPr>
            <w:tcW w:type="dxa" w:w="850"/>
            <w:vAlign w:val="center"/>
          </w:tcPr>
          <w:p>
            <w:pPr>
              <w:spacing w:before="60" w:after="60"/>
              <w:ind w:firstLine="0"/>
              <w:jc w:val="center"/>
            </w:pPr>
            <w:r>
              <w:rPr>
                <w:b w:val="0"/>
              </w:rPr>
              <w:t>4</w:t>
            </w:r>
          </w:p>
        </w:tc>
        <w:tc>
          <w:tcPr>
            <w:tcW w:type="dxa" w:w="3402"/>
            <w:vAlign w:val="center"/>
          </w:tcPr>
          <w:p>
            <w:pPr>
              <w:spacing w:before="60" w:after="60"/>
              <w:ind w:firstLine="0"/>
              <w:jc w:val="left"/>
            </w:pPr>
            <w:r>
              <w:rPr>
                <w:b w:val="0"/>
              </w:rPr>
              <w:t>Надбавка 25% за стажу &lt;3 років</w:t>
            </w:r>
          </w:p>
        </w:tc>
        <w:tc>
          <w:tcPr>
            <w:tcW w:type="dxa" w:w="5386"/>
            <w:vAlign w:val="center"/>
          </w:tcPr>
          <w:p>
            <w:pPr>
              <w:spacing w:before="60" w:after="60"/>
              <w:ind w:firstLine="0"/>
              <w:jc w:val="left"/>
            </w:pPr>
            <w:r>
              <w:rPr>
                <w:b w:val="0"/>
              </w:rPr>
              <w:t>Отримано 3000 замість 3750; Green – 221.</w:t>
            </w:r>
          </w:p>
        </w:tc>
      </w:tr>
      <w:tr>
        <w:trPr>
          <w:cantSplit/>
        </w:trPr>
        <w:tc>
          <w:tcPr>
            <w:tcW w:type="dxa" w:w="850"/>
            <w:vAlign w:val="center"/>
          </w:tcPr>
          <w:p>
            <w:pPr>
              <w:spacing w:before="60" w:after="60"/>
              <w:ind w:firstLine="0"/>
              <w:jc w:val="center"/>
            </w:pPr>
            <w:r>
              <w:rPr>
                <w:b w:val="0"/>
              </w:rPr>
              <w:t>5</w:t>
            </w:r>
          </w:p>
        </w:tc>
        <w:tc>
          <w:tcPr>
            <w:tcW w:type="dxa" w:w="3402"/>
            <w:vAlign w:val="center"/>
          </w:tcPr>
          <w:p>
            <w:pPr>
              <w:spacing w:before="60" w:after="60"/>
              <w:ind w:firstLine="0"/>
              <w:jc w:val="left"/>
            </w:pPr>
            <w:r>
              <w:rPr>
                <w:b w:val="0"/>
              </w:rPr>
              <w:t>Знижка за безаварійність після надбавки</w:t>
            </w:r>
          </w:p>
        </w:tc>
        <w:tc>
          <w:tcPr>
            <w:tcW w:type="dxa" w:w="5386"/>
            <w:vAlign w:val="center"/>
          </w:tcPr>
          <w:p>
            <w:pPr>
              <w:spacing w:before="60" w:after="60"/>
              <w:ind w:firstLine="0"/>
              <w:jc w:val="left"/>
            </w:pPr>
            <w:r>
              <w:rPr>
                <w:b w:val="0"/>
              </w:rPr>
              <w:t>Немає знижки, зокрема 3000 замість 2700; Green – 227.</w:t>
            </w:r>
          </w:p>
        </w:tc>
      </w:tr>
      <w:tr>
        <w:trPr>
          <w:cantSplit/>
        </w:trPr>
        <w:tc>
          <w:tcPr>
            <w:tcW w:type="dxa" w:w="850"/>
            <w:vAlign w:val="center"/>
          </w:tcPr>
          <w:p>
            <w:pPr>
              <w:spacing w:before="60" w:after="60"/>
              <w:ind w:firstLine="0"/>
              <w:jc w:val="center"/>
            </w:pPr>
            <w:r>
              <w:rPr>
                <w:b w:val="0"/>
              </w:rPr>
              <w:t>6</w:t>
            </w:r>
          </w:p>
        </w:tc>
        <w:tc>
          <w:tcPr>
            <w:tcW w:type="dxa" w:w="3402"/>
            <w:vAlign w:val="center"/>
          </w:tcPr>
          <w:p>
            <w:pPr>
              <w:spacing w:before="60" w:after="60"/>
              <w:ind w:firstLine="0"/>
              <w:jc w:val="left"/>
            </w:pPr>
            <w:r>
              <w:rPr>
                <w:b w:val="0"/>
              </w:rPr>
              <w:t>Максимум знижки 30%</w:t>
            </w:r>
          </w:p>
        </w:tc>
        <w:tc>
          <w:tcPr>
            <w:tcW w:type="dxa" w:w="5386"/>
            <w:vAlign w:val="center"/>
          </w:tcPr>
          <w:p>
            <w:pPr>
              <w:spacing w:before="60" w:after="60"/>
              <w:ind w:firstLine="0"/>
              <w:jc w:val="left"/>
            </w:pPr>
            <w:r>
              <w:rPr>
                <w:b w:val="0"/>
              </w:rPr>
              <w:t>31% зменшували суму до 2070 замість 2100; Green – 235.</w:t>
            </w:r>
          </w:p>
        </w:tc>
      </w:tr>
      <w:tr>
        <w:trPr>
          <w:cantSplit/>
        </w:trPr>
        <w:tc>
          <w:tcPr>
            <w:tcW w:type="dxa" w:w="850"/>
            <w:vAlign w:val="center"/>
          </w:tcPr>
          <w:p>
            <w:pPr>
              <w:spacing w:before="60" w:after="60"/>
              <w:ind w:firstLine="0"/>
              <w:jc w:val="center"/>
            </w:pPr>
            <w:r>
              <w:rPr>
                <w:b w:val="0"/>
              </w:rPr>
              <w:t>7</w:t>
            </w:r>
          </w:p>
        </w:tc>
        <w:tc>
          <w:tcPr>
            <w:tcW w:type="dxa" w:w="3402"/>
            <w:vAlign w:val="center"/>
          </w:tcPr>
          <w:p>
            <w:pPr>
              <w:spacing w:before="60" w:after="60"/>
              <w:ind w:firstLine="0"/>
              <w:jc w:val="left"/>
            </w:pPr>
            <w:r>
              <w:rPr>
                <w:b w:val="0"/>
              </w:rPr>
              <w:t>Фінальне округлення та взаємодія правил</w:t>
            </w:r>
          </w:p>
        </w:tc>
        <w:tc>
          <w:tcPr>
            <w:tcW w:type="dxa" w:w="5386"/>
            <w:vAlign w:val="center"/>
          </w:tcPr>
          <w:p>
            <w:pPr>
              <w:spacing w:before="60" w:after="60"/>
              <w:ind w:firstLine="0"/>
              <w:jc w:val="left"/>
            </w:pPr>
            <w:r>
              <w:rPr>
                <w:b w:val="0"/>
              </w:rPr>
              <w:t>Отримано 2629,6353 замість 2629,64; Green – 247.</w:t>
            </w:r>
          </w:p>
        </w:tc>
      </w:tr>
      <w:tr>
        <w:trPr>
          <w:cantSplit/>
        </w:trPr>
        <w:tc>
          <w:tcPr>
            <w:tcW w:type="dxa" w:w="850"/>
            <w:vAlign w:val="center"/>
          </w:tcPr>
          <w:p>
            <w:pPr>
              <w:spacing w:before="60" w:after="60"/>
              <w:ind w:firstLine="0"/>
              <w:jc w:val="center"/>
            </w:pPr>
            <w:r>
              <w:rPr>
                <w:b w:val="0"/>
              </w:rPr>
              <w:t>8</w:t>
            </w:r>
          </w:p>
        </w:tc>
        <w:tc>
          <w:tcPr>
            <w:tcW w:type="dxa" w:w="3402"/>
            <w:vAlign w:val="center"/>
          </w:tcPr>
          <w:p>
            <w:pPr>
              <w:spacing w:before="60" w:after="60"/>
              <w:ind w:firstLine="0"/>
              <w:jc w:val="left"/>
            </w:pPr>
            <w:r>
              <w:rPr>
                <w:b w:val="0"/>
              </w:rPr>
              <w:t>Точність десяткової половини копійки</w:t>
            </w:r>
          </w:p>
        </w:tc>
        <w:tc>
          <w:tcPr>
            <w:tcW w:type="dxa" w:w="5386"/>
            <w:vAlign w:val="center"/>
          </w:tcPr>
          <w:p>
            <w:pPr>
              <w:spacing w:before="60" w:after="60"/>
              <w:ind w:firstLine="0"/>
              <w:jc w:val="left"/>
            </w:pPr>
            <w:r>
              <w:rPr>
                <w:b w:val="0"/>
              </w:rPr>
              <w:t>2999,77 замість 2999,78 при 0,0075%; Green – 253.</w:t>
            </w:r>
          </w:p>
        </w:tc>
      </w:tr>
    </w:tbl>
    <w:p>
      <w:pPr>
        <w:keepNext w:val="0"/>
      </w:pPr>
      <w:r>
        <w:rPr>
          <w:b w:val="0"/>
        </w:rPr>
        <w:t>Кожний рядок таблиці відповідає окремим Red, Green і Refactor. Поведінку наступної категорії або знижки не додавали до відповідного Red. У першому Green страхування коректні вхідні дані ще давали 0, у другому – одну ціну для всіх вікових категорій; наступні тести змусили розширити ці реалізації.</w:t>
      </w:r>
    </w:p>
    <w:p>
      <w:pPr>
        <w:pStyle w:val="Heading2"/>
      </w:pPr>
      <w:r>
        <w:t>2.2 Показовий тарифікатор паркування</w:t>
      </w:r>
    </w:p>
    <w:p>
      <w:pPr>
        <w:keepNext/>
        <w:spacing w:before="120"/>
        <w:ind w:firstLine="0"/>
        <w:jc w:val="center"/>
      </w:pPr>
      <w:r>
        <w:rPr>
          <w:b w:val="0"/>
        </w:rPr>
        <w:t>Таблиця 3 – Послідовність вимог паркування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0"/>
        <w:gridCol w:w="6236"/>
        <w:gridCol w:w="2551"/>
      </w:tblGrid>
      <w:tr>
        <w:trPr>
          <w:cantSplit/>
          <w:tblHeader/>
        </w:trPr>
        <w:tc>
          <w:tcPr>
            <w:tcW w:type="dxa" w:w="850"/>
            <w:vAlign w:val="center"/>
          </w:tcPr>
          <w:p>
            <w:pPr>
              <w:spacing w:before="60" w:after="60"/>
              <w:ind w:firstLine="0"/>
              <w:jc w:val="center"/>
            </w:pPr>
            <w:r>
              <w:rPr>
                <w:b w:val="0"/>
              </w:rPr>
              <w:t>Цикл</w:t>
            </w:r>
          </w:p>
        </w:tc>
        <w:tc>
          <w:tcPr>
            <w:tcW w:type="dxa" w:w="6236"/>
            <w:vAlign w:val="center"/>
          </w:tcPr>
          <w:p>
            <w:pPr>
              <w:spacing w:before="60" w:after="60"/>
              <w:ind w:firstLine="0"/>
              <w:jc w:val="left"/>
            </w:pPr>
            <w:r>
              <w:rPr>
                <w:b w:val="0"/>
              </w:rPr>
              <w:t>Вимога</w:t>
            </w:r>
          </w:p>
        </w:tc>
        <w:tc>
          <w:tcPr>
            <w:tcW w:type="dxa" w:w="2551"/>
            <w:vAlign w:val="center"/>
          </w:tcPr>
          <w:p>
            <w:pPr>
              <w:spacing w:before="60" w:after="60"/>
              <w:ind w:firstLine="0"/>
              <w:jc w:val="left"/>
            </w:pPr>
            <w:r>
              <w:rPr>
                <w:b w:val="0"/>
              </w:rPr>
              <w:t>Повний набір після Green</w:t>
            </w:r>
          </w:p>
        </w:tc>
      </w:tr>
      <w:tr>
        <w:trPr>
          <w:cantSplit/>
        </w:trPr>
        <w:tc>
          <w:tcPr>
            <w:tcW w:type="dxa" w:w="850"/>
            <w:vAlign w:val="center"/>
          </w:tcPr>
          <w:p>
            <w:pPr>
              <w:spacing w:before="60" w:after="60"/>
              <w:ind w:firstLine="0"/>
              <w:jc w:val="center"/>
            </w:pPr>
            <w:r>
              <w:rPr>
                <w:b w:val="0"/>
              </w:rPr>
              <w:t>1</w:t>
            </w:r>
          </w:p>
        </w:tc>
        <w:tc>
          <w:tcPr>
            <w:tcW w:type="dxa" w:w="6236"/>
            <w:vAlign w:val="center"/>
          </w:tcPr>
          <w:p>
            <w:pPr>
              <w:spacing w:before="60" w:after="60"/>
              <w:ind w:firstLine="0"/>
              <w:jc w:val="left"/>
            </w:pPr>
            <w:r>
              <w:rPr>
                <w:b w:val="0"/>
              </w:rPr>
              <w:t>INVALID_DURATION для від’ємної, дробової та нескінченної тривалості</w:t>
            </w:r>
          </w:p>
        </w:tc>
        <w:tc>
          <w:tcPr>
            <w:tcW w:type="dxa" w:w="2551"/>
            <w:vAlign w:val="center"/>
          </w:tcPr>
          <w:p>
            <w:pPr>
              <w:spacing w:before="60" w:after="60"/>
              <w:ind w:firstLine="0"/>
              <w:jc w:val="left"/>
            </w:pPr>
            <w:r>
              <w:rPr>
                <w:b w:val="0"/>
              </w:rPr>
              <w:t>151</w:t>
            </w:r>
          </w:p>
        </w:tc>
      </w:tr>
      <w:tr>
        <w:trPr>
          <w:cantSplit/>
        </w:trPr>
        <w:tc>
          <w:tcPr>
            <w:tcW w:type="dxa" w:w="850"/>
            <w:vAlign w:val="center"/>
          </w:tcPr>
          <w:p>
            <w:pPr>
              <w:spacing w:before="60" w:after="60"/>
              <w:ind w:firstLine="0"/>
              <w:jc w:val="center"/>
            </w:pPr>
            <w:r>
              <w:rPr>
                <w:b w:val="0"/>
              </w:rPr>
              <w:t>2</w:t>
            </w:r>
          </w:p>
        </w:tc>
        <w:tc>
          <w:tcPr>
            <w:tcW w:type="dxa" w:w="6236"/>
            <w:vAlign w:val="center"/>
          </w:tcPr>
          <w:p>
            <w:pPr>
              <w:spacing w:before="60" w:after="60"/>
              <w:ind w:firstLine="0"/>
              <w:jc w:val="left"/>
            </w:pPr>
            <w:r>
              <w:rPr>
                <w:b w:val="0"/>
              </w:rPr>
              <w:t>0–15 хв безкоштовно</w:t>
            </w:r>
          </w:p>
        </w:tc>
        <w:tc>
          <w:tcPr>
            <w:tcW w:type="dxa" w:w="2551"/>
            <w:vAlign w:val="center"/>
          </w:tcPr>
          <w:p>
            <w:pPr>
              <w:spacing w:before="60" w:after="60"/>
              <w:ind w:firstLine="0"/>
              <w:jc w:val="left"/>
            </w:pPr>
            <w:r>
              <w:rPr>
                <w:b w:val="0"/>
              </w:rPr>
              <w:t>155</w:t>
            </w:r>
          </w:p>
        </w:tc>
      </w:tr>
      <w:tr>
        <w:trPr>
          <w:cantSplit/>
        </w:trPr>
        <w:tc>
          <w:tcPr>
            <w:tcW w:type="dxa" w:w="850"/>
            <w:vAlign w:val="center"/>
          </w:tcPr>
          <w:p>
            <w:pPr>
              <w:spacing w:before="60" w:after="60"/>
              <w:ind w:firstLine="0"/>
              <w:jc w:val="center"/>
            </w:pPr>
            <w:r>
              <w:rPr>
                <w:b w:val="0"/>
              </w:rPr>
              <w:t>3</w:t>
            </w:r>
          </w:p>
        </w:tc>
        <w:tc>
          <w:tcPr>
            <w:tcW w:type="dxa" w:w="6236"/>
            <w:vAlign w:val="center"/>
          </w:tcPr>
          <w:p>
            <w:pPr>
              <w:spacing w:before="60" w:after="60"/>
              <w:ind w:firstLine="0"/>
              <w:jc w:val="left"/>
            </w:pPr>
            <w:r>
              <w:rPr>
                <w:b w:val="0"/>
              </w:rPr>
              <w:t>16–60 хв – 30 грн</w:t>
            </w:r>
          </w:p>
        </w:tc>
        <w:tc>
          <w:tcPr>
            <w:tcW w:type="dxa" w:w="2551"/>
            <w:vAlign w:val="center"/>
          </w:tcPr>
          <w:p>
            <w:pPr>
              <w:spacing w:before="60" w:after="60"/>
              <w:ind w:firstLine="0"/>
              <w:jc w:val="left"/>
            </w:pPr>
            <w:r>
              <w:rPr>
                <w:b w:val="0"/>
              </w:rPr>
              <w:t>158</w:t>
            </w:r>
          </w:p>
        </w:tc>
      </w:tr>
      <w:tr>
        <w:trPr>
          <w:cantSplit/>
        </w:trPr>
        <w:tc>
          <w:tcPr>
            <w:tcW w:type="dxa" w:w="850"/>
            <w:vAlign w:val="center"/>
          </w:tcPr>
          <w:p>
            <w:pPr>
              <w:spacing w:before="60" w:after="60"/>
              <w:ind w:firstLine="0"/>
              <w:jc w:val="center"/>
            </w:pPr>
            <w:r>
              <w:rPr>
                <w:b w:val="0"/>
              </w:rPr>
              <w:t>4</w:t>
            </w:r>
          </w:p>
        </w:tc>
        <w:tc>
          <w:tcPr>
            <w:tcW w:type="dxa" w:w="6236"/>
            <w:vAlign w:val="center"/>
          </w:tcPr>
          <w:p>
            <w:pPr>
              <w:spacing w:before="60" w:after="60"/>
              <w:ind w:firstLine="0"/>
              <w:jc w:val="left"/>
            </w:pPr>
            <w:r>
              <w:rPr>
                <w:b w:val="0"/>
              </w:rPr>
              <w:t>Кожна наступна розпочата година – 20 грн</w:t>
            </w:r>
          </w:p>
        </w:tc>
        <w:tc>
          <w:tcPr>
            <w:tcW w:type="dxa" w:w="2551"/>
            <w:vAlign w:val="center"/>
          </w:tcPr>
          <w:p>
            <w:pPr>
              <w:spacing w:before="60" w:after="60"/>
              <w:ind w:firstLine="0"/>
              <w:jc w:val="left"/>
            </w:pPr>
            <w:r>
              <w:rPr>
                <w:b w:val="0"/>
              </w:rPr>
              <w:t>163</w:t>
            </w:r>
          </w:p>
        </w:tc>
      </w:tr>
      <w:tr>
        <w:trPr>
          <w:cantSplit/>
        </w:trPr>
        <w:tc>
          <w:tcPr>
            <w:tcW w:type="dxa" w:w="850"/>
            <w:vAlign w:val="center"/>
          </w:tcPr>
          <w:p>
            <w:pPr>
              <w:spacing w:before="60" w:after="60"/>
              <w:ind w:firstLine="0"/>
              <w:jc w:val="center"/>
            </w:pPr>
            <w:r>
              <w:rPr>
                <w:b w:val="0"/>
              </w:rPr>
              <w:t>5</w:t>
            </w:r>
          </w:p>
        </w:tc>
        <w:tc>
          <w:tcPr>
            <w:tcW w:type="dxa" w:w="6236"/>
            <w:vAlign w:val="center"/>
          </w:tcPr>
          <w:p>
            <w:pPr>
              <w:spacing w:before="60" w:after="60"/>
              <w:ind w:firstLine="0"/>
              <w:jc w:val="left"/>
            </w:pPr>
            <w:r>
              <w:rPr>
                <w:b w:val="0"/>
              </w:rPr>
              <w:t>Обмеження базової плати до 200 грн</w:t>
            </w:r>
          </w:p>
        </w:tc>
        <w:tc>
          <w:tcPr>
            <w:tcW w:type="dxa" w:w="2551"/>
            <w:vAlign w:val="center"/>
          </w:tcPr>
          <w:p>
            <w:pPr>
              <w:spacing w:before="60" w:after="60"/>
              <w:ind w:firstLine="0"/>
              <w:jc w:val="left"/>
            </w:pPr>
            <w:r>
              <w:rPr>
                <w:b w:val="0"/>
              </w:rPr>
              <w:t>169</w:t>
            </w:r>
          </w:p>
        </w:tc>
      </w:tr>
      <w:tr>
        <w:trPr>
          <w:cantSplit/>
        </w:trPr>
        <w:tc>
          <w:tcPr>
            <w:tcW w:type="dxa" w:w="850"/>
            <w:vAlign w:val="center"/>
          </w:tcPr>
          <w:p>
            <w:pPr>
              <w:spacing w:before="60" w:after="60"/>
              <w:ind w:firstLine="0"/>
              <w:jc w:val="center"/>
            </w:pPr>
            <w:r>
              <w:rPr>
                <w:b w:val="0"/>
              </w:rPr>
              <w:t>6</w:t>
            </w:r>
          </w:p>
        </w:tc>
        <w:tc>
          <w:tcPr>
            <w:tcW w:type="dxa" w:w="6236"/>
            <w:vAlign w:val="center"/>
          </w:tcPr>
          <w:p>
            <w:pPr>
              <w:spacing w:before="60" w:after="60"/>
              <w:ind w:firstLine="0"/>
              <w:jc w:val="left"/>
            </w:pPr>
            <w:r>
              <w:rPr>
                <w:b w:val="0"/>
              </w:rPr>
              <w:t>Нічний множник 0,5 після обмеження</w:t>
            </w:r>
          </w:p>
        </w:tc>
        <w:tc>
          <w:tcPr>
            <w:tcW w:type="dxa" w:w="2551"/>
            <w:vAlign w:val="center"/>
          </w:tcPr>
          <w:p>
            <w:pPr>
              <w:spacing w:before="60" w:after="60"/>
              <w:ind w:firstLine="0"/>
              <w:jc w:val="left"/>
            </w:pPr>
            <w:r>
              <w:rPr>
                <w:b w:val="0"/>
              </w:rPr>
              <w:t>175</w:t>
            </w:r>
          </w:p>
        </w:tc>
      </w:tr>
      <w:tr>
        <w:trPr>
          <w:cantSplit/>
        </w:trPr>
        <w:tc>
          <w:tcPr>
            <w:tcW w:type="dxa" w:w="850"/>
            <w:vAlign w:val="center"/>
          </w:tcPr>
          <w:p>
            <w:pPr>
              <w:spacing w:before="60" w:after="60"/>
              <w:ind w:firstLine="0"/>
              <w:jc w:val="center"/>
            </w:pPr>
            <w:r>
              <w:rPr>
                <w:b w:val="0"/>
              </w:rPr>
              <w:t>7</w:t>
            </w:r>
          </w:p>
        </w:tc>
        <w:tc>
          <w:tcPr>
            <w:tcW w:type="dxa" w:w="6236"/>
            <w:vAlign w:val="center"/>
          </w:tcPr>
          <w:p>
            <w:pPr>
              <w:spacing w:before="60" w:after="60"/>
              <w:ind w:firstLine="0"/>
              <w:jc w:val="left"/>
            </w:pPr>
            <w:r>
              <w:rPr>
                <w:b w:val="0"/>
              </w:rPr>
              <w:t>Вихідний множник 0,8 після нічного</w:t>
            </w:r>
          </w:p>
        </w:tc>
        <w:tc>
          <w:tcPr>
            <w:tcW w:type="dxa" w:w="2551"/>
            <w:vAlign w:val="center"/>
          </w:tcPr>
          <w:p>
            <w:pPr>
              <w:spacing w:before="60" w:after="60"/>
              <w:ind w:firstLine="0"/>
              <w:jc w:val="left"/>
            </w:pPr>
            <w:r>
              <w:rPr>
                <w:b w:val="0"/>
              </w:rPr>
              <w:t>181</w:t>
            </w:r>
          </w:p>
        </w:tc>
      </w:tr>
      <w:tr>
        <w:trPr>
          <w:cantSplit/>
        </w:trPr>
        <w:tc>
          <w:tcPr>
            <w:tcW w:type="dxa" w:w="850"/>
            <w:vAlign w:val="center"/>
          </w:tcPr>
          <w:p>
            <w:pPr>
              <w:spacing w:before="60" w:after="60"/>
              <w:ind w:firstLine="0"/>
              <w:jc w:val="center"/>
            </w:pPr>
            <w:r>
              <w:rPr>
                <w:b w:val="0"/>
              </w:rPr>
              <w:t>8</w:t>
            </w:r>
          </w:p>
        </w:tc>
        <w:tc>
          <w:tcPr>
            <w:tcW w:type="dxa" w:w="6236"/>
            <w:vAlign w:val="center"/>
          </w:tcPr>
          <w:p>
            <w:pPr>
              <w:spacing w:before="60" w:after="60"/>
              <w:ind w:firstLine="0"/>
              <w:jc w:val="left"/>
            </w:pPr>
            <w:r>
              <w:rPr>
                <w:b w:val="0"/>
              </w:rPr>
              <w:t>Округлення до двох знаків</w:t>
            </w:r>
          </w:p>
        </w:tc>
        <w:tc>
          <w:tcPr>
            <w:tcW w:type="dxa" w:w="2551"/>
            <w:vAlign w:val="center"/>
          </w:tcPr>
          <w:p>
            <w:pPr>
              <w:spacing w:before="60" w:after="60"/>
              <w:ind w:firstLine="0"/>
              <w:jc w:val="left"/>
            </w:pPr>
            <w:r>
              <w:rPr>
                <w:b w:val="0"/>
              </w:rPr>
              <w:t>185</w:t>
            </w:r>
          </w:p>
        </w:tc>
      </w:tr>
    </w:tbl>
    <w:p>
      <w:pPr>
        <w:keepNext w:val="0"/>
      </w:pPr>
      <w:r>
        <w:rPr>
          <w:b w:val="0"/>
        </w:rPr>
        <w:t>Межові значення: 14/15/16, 59/60/61, 119/120/121 та 539/540/541 хв. 61 хв коштує 50 грн, 121 хв – 70 грн, 540 хв – 190 грн, 541 хв – 200 грн. Для 600 хв з обома прапорцями: 200 × 0,5 × 0,8 = 80 грн. Обмеження застосовується до знижок; для 600 хв спочатку поділити 210 навпіл означало б помилкові 105 грн замість 100.</w:t>
      </w:r>
    </w:p>
    <w:p>
      <w:pPr>
        <w:keepNext w:val="0"/>
      </w:pPr>
      <w:r>
        <w:rPr>
          <w:b w:val="0"/>
        </w:rPr>
        <w:t>Приклади 12 і 28 грн із восьмого циклу методички вже проходили після сьомого: усі задані тарифи дають цілі результати. Тому не стверджується, що вони були Red. Реальний Red восьмого циклу перевіряв нову roundParkingAmount на 12,344/12,345/12,346; виклик відсутньої функції впав, після мінімальної реалізації – пройшов. Публічний калькулятор застосовує її до остаточної суми.</w:t>
      </w:r>
    </w:p>
    <w:p>
      <w:pPr>
        <w:pStyle w:val="Heading2"/>
      </w:pPr>
      <w:r>
        <w:t>2.3 Межі та незалежні очікувані значення</w:t>
      </w:r>
    </w:p>
    <w:p>
      <w:pPr>
        <w:keepNext/>
        <w:spacing w:before="120"/>
        <w:ind w:firstLine="0"/>
        <w:jc w:val="center"/>
      </w:pPr>
      <w:r>
        <w:rPr>
          <w:b w:val="0"/>
        </w:rPr>
        <w:t>Таблиця 4 – Перевірка числових порогів страхування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28"/>
        <w:gridCol w:w="3515"/>
        <w:gridCol w:w="4195"/>
      </w:tblGrid>
      <w:tr>
        <w:trPr>
          <w:cantSplit/>
          <w:tblHeader/>
        </w:trPr>
        <w:tc>
          <w:tcPr>
            <w:tcW w:type="dxa" w:w="1928"/>
            <w:vAlign w:val="center"/>
          </w:tcPr>
          <w:p>
            <w:pPr>
              <w:spacing w:before="60" w:after="60"/>
              <w:ind w:firstLine="0"/>
              <w:jc w:val="center"/>
            </w:pPr>
            <w:r>
              <w:rPr>
                <w:b w:val="0"/>
              </w:rPr>
              <w:t>Межа</w:t>
            </w:r>
          </w:p>
        </w:tc>
        <w:tc>
          <w:tcPr>
            <w:tcW w:type="dxa" w:w="3515"/>
            <w:vAlign w:val="center"/>
          </w:tcPr>
          <w:p>
            <w:pPr>
              <w:spacing w:before="60" w:after="60"/>
              <w:ind w:firstLine="0"/>
              <w:jc w:val="left"/>
            </w:pPr>
            <w:r>
              <w:rPr>
                <w:b w:val="0"/>
              </w:rPr>
              <w:t>Вхідні значення</w:t>
            </w:r>
          </w:p>
        </w:tc>
        <w:tc>
          <w:tcPr>
            <w:tcW w:type="dxa" w:w="4195"/>
            <w:vAlign w:val="center"/>
          </w:tcPr>
          <w:p>
            <w:pPr>
              <w:spacing w:before="60" w:after="60"/>
              <w:ind w:firstLine="0"/>
              <w:jc w:val="left"/>
            </w:pPr>
            <w:r>
              <w:rPr>
                <w:b w:val="0"/>
              </w:rPr>
              <w:t>Очікування</w:t>
            </w:r>
          </w:p>
        </w:tc>
      </w:tr>
      <w:tr>
        <w:trPr>
          <w:cantSplit/>
        </w:trPr>
        <w:tc>
          <w:tcPr>
            <w:tcW w:type="dxa" w:w="1928"/>
            <w:vAlign w:val="center"/>
          </w:tcPr>
          <w:p>
            <w:pPr>
              <w:spacing w:before="60" w:after="60"/>
              <w:ind w:firstLine="0"/>
              <w:jc w:val="center"/>
            </w:pPr>
            <w:r>
              <w:rPr>
                <w:b w:val="0"/>
              </w:rPr>
              <w:t>Вік 0</w:t>
            </w:r>
          </w:p>
        </w:tc>
        <w:tc>
          <w:tcPr>
            <w:tcW w:type="dxa" w:w="3515"/>
            <w:vAlign w:val="center"/>
          </w:tcPr>
          <w:p>
            <w:pPr>
              <w:spacing w:before="60" w:after="60"/>
              <w:ind w:firstLine="0"/>
              <w:jc w:val="left"/>
            </w:pPr>
            <w:r>
              <w:rPr>
                <w:b w:val="0"/>
              </w:rPr>
              <w:t>−1, 0, 1; дробове 0,5</w:t>
            </w:r>
          </w:p>
        </w:tc>
        <w:tc>
          <w:tcPr>
            <w:tcW w:type="dxa" w:w="4195"/>
            <w:vAlign w:val="center"/>
          </w:tcPr>
          <w:p>
            <w:pPr>
              <w:spacing w:before="60" w:after="60"/>
              <w:ind w:firstLine="0"/>
              <w:jc w:val="left"/>
            </w:pPr>
            <w:r>
              <w:rPr>
                <w:b w:val="0"/>
              </w:rPr>
              <w:t>Відмова, 3000, 3000; відмова</w:t>
            </w:r>
          </w:p>
        </w:tc>
      </w:tr>
      <w:tr>
        <w:trPr>
          <w:cantSplit/>
        </w:trPr>
        <w:tc>
          <w:tcPr>
            <w:tcW w:type="dxa" w:w="1928"/>
            <w:vAlign w:val="center"/>
          </w:tcPr>
          <w:p>
            <w:pPr>
              <w:spacing w:before="60" w:after="60"/>
              <w:ind w:firstLine="0"/>
              <w:jc w:val="center"/>
            </w:pPr>
            <w:r>
              <w:rPr>
                <w:b w:val="0"/>
              </w:rPr>
              <w:t>Вік 3</w:t>
            </w:r>
          </w:p>
        </w:tc>
        <w:tc>
          <w:tcPr>
            <w:tcW w:type="dxa" w:w="3515"/>
            <w:vAlign w:val="center"/>
          </w:tcPr>
          <w:p>
            <w:pPr>
              <w:spacing w:before="60" w:after="60"/>
              <w:ind w:firstLine="0"/>
              <w:jc w:val="left"/>
            </w:pPr>
            <w:r>
              <w:rPr>
                <w:b w:val="0"/>
              </w:rPr>
              <w:t>2, 3, 4</w:t>
            </w:r>
          </w:p>
        </w:tc>
        <w:tc>
          <w:tcPr>
            <w:tcW w:type="dxa" w:w="4195"/>
            <w:vAlign w:val="center"/>
          </w:tcPr>
          <w:p>
            <w:pPr>
              <w:spacing w:before="60" w:after="60"/>
              <w:ind w:firstLine="0"/>
              <w:jc w:val="left"/>
            </w:pPr>
            <w:r>
              <w:rPr>
                <w:b w:val="0"/>
              </w:rPr>
              <w:t>3000, 3000, 4000</w:t>
            </w:r>
          </w:p>
        </w:tc>
      </w:tr>
      <w:tr>
        <w:trPr>
          <w:cantSplit/>
        </w:trPr>
        <w:tc>
          <w:tcPr>
            <w:tcW w:type="dxa" w:w="1928"/>
            <w:vAlign w:val="center"/>
          </w:tcPr>
          <w:p>
            <w:pPr>
              <w:spacing w:before="60" w:after="60"/>
              <w:ind w:firstLine="0"/>
              <w:jc w:val="center"/>
            </w:pPr>
            <w:r>
              <w:rPr>
                <w:b w:val="0"/>
              </w:rPr>
              <w:t>Вік 10</w:t>
            </w:r>
          </w:p>
        </w:tc>
        <w:tc>
          <w:tcPr>
            <w:tcW w:type="dxa" w:w="3515"/>
            <w:vAlign w:val="center"/>
          </w:tcPr>
          <w:p>
            <w:pPr>
              <w:spacing w:before="60" w:after="60"/>
              <w:ind w:firstLine="0"/>
              <w:jc w:val="left"/>
            </w:pPr>
            <w:r>
              <w:rPr>
                <w:b w:val="0"/>
              </w:rPr>
              <w:t>9, 10, 11</w:t>
            </w:r>
          </w:p>
        </w:tc>
        <w:tc>
          <w:tcPr>
            <w:tcW w:type="dxa" w:w="4195"/>
            <w:vAlign w:val="center"/>
          </w:tcPr>
          <w:p>
            <w:pPr>
              <w:spacing w:before="60" w:after="60"/>
              <w:ind w:firstLine="0"/>
              <w:jc w:val="left"/>
            </w:pPr>
            <w:r>
              <w:rPr>
                <w:b w:val="0"/>
              </w:rPr>
              <w:t>4000, 4000, 5000</w:t>
            </w:r>
          </w:p>
        </w:tc>
      </w:tr>
      <w:tr>
        <w:trPr>
          <w:cantSplit/>
        </w:trPr>
        <w:tc>
          <w:tcPr>
            <w:tcW w:type="dxa" w:w="1928"/>
            <w:vAlign w:val="center"/>
          </w:tcPr>
          <w:p>
            <w:pPr>
              <w:spacing w:before="60" w:after="60"/>
              <w:ind w:firstLine="0"/>
              <w:jc w:val="center"/>
            </w:pPr>
            <w:r>
              <w:rPr>
                <w:b w:val="0"/>
              </w:rPr>
              <w:t>Безпечний вік</w:t>
            </w:r>
          </w:p>
        </w:tc>
        <w:tc>
          <w:tcPr>
            <w:tcW w:type="dxa" w:w="3515"/>
            <w:vAlign w:val="center"/>
          </w:tcPr>
          <w:p>
            <w:pPr>
              <w:spacing w:before="60" w:after="60"/>
              <w:ind w:firstLine="0"/>
              <w:jc w:val="left"/>
            </w:pPr>
            <w:r>
              <w:rPr>
                <w:b w:val="0"/>
              </w:rPr>
              <w:t>MAX_SAFE_INTEGER −1; межа; +1</w:t>
            </w:r>
          </w:p>
        </w:tc>
        <w:tc>
          <w:tcPr>
            <w:tcW w:type="dxa" w:w="4195"/>
            <w:vAlign w:val="center"/>
          </w:tcPr>
          <w:p>
            <w:pPr>
              <w:spacing w:before="60" w:after="60"/>
              <w:ind w:firstLine="0"/>
              <w:jc w:val="left"/>
            </w:pPr>
            <w:r>
              <w:rPr>
                <w:b w:val="0"/>
              </w:rPr>
              <w:t>5000; 5000; відмова</w:t>
            </w:r>
          </w:p>
        </w:tc>
      </w:tr>
      <w:tr>
        <w:trPr>
          <w:cantSplit/>
        </w:trPr>
        <w:tc>
          <w:tcPr>
            <w:tcW w:type="dxa" w:w="1928"/>
            <w:vAlign w:val="center"/>
          </w:tcPr>
          <w:p>
            <w:pPr>
              <w:spacing w:before="60" w:after="60"/>
              <w:ind w:firstLine="0"/>
              <w:jc w:val="center"/>
            </w:pPr>
            <w:r>
              <w:rPr>
                <w:b w:val="0"/>
              </w:rPr>
              <w:t>Стаж 0</w:t>
            </w:r>
          </w:p>
        </w:tc>
        <w:tc>
          <w:tcPr>
            <w:tcW w:type="dxa" w:w="3515"/>
            <w:vAlign w:val="center"/>
          </w:tcPr>
          <w:p>
            <w:pPr>
              <w:spacing w:before="60" w:after="60"/>
              <w:ind w:firstLine="0"/>
              <w:jc w:val="left"/>
            </w:pPr>
            <w:r>
              <w:rPr>
                <w:b w:val="0"/>
              </w:rPr>
              <w:t>−0,01; 0; 0,01</w:t>
            </w:r>
          </w:p>
        </w:tc>
        <w:tc>
          <w:tcPr>
            <w:tcW w:type="dxa" w:w="4195"/>
            <w:vAlign w:val="center"/>
          </w:tcPr>
          <w:p>
            <w:pPr>
              <w:spacing w:before="60" w:after="60"/>
              <w:ind w:firstLine="0"/>
              <w:jc w:val="left"/>
            </w:pPr>
            <w:r>
              <w:rPr>
                <w:b w:val="0"/>
              </w:rPr>
              <w:t>Відмова; 3750; 3750 для авто віком 0</w:t>
            </w:r>
          </w:p>
        </w:tc>
      </w:tr>
      <w:tr>
        <w:trPr>
          <w:cantSplit/>
        </w:trPr>
        <w:tc>
          <w:tcPr>
            <w:tcW w:type="dxa" w:w="1928"/>
            <w:vAlign w:val="center"/>
          </w:tcPr>
          <w:p>
            <w:pPr>
              <w:spacing w:before="60" w:after="60"/>
              <w:ind w:firstLine="0"/>
              <w:jc w:val="center"/>
            </w:pPr>
            <w:r>
              <w:rPr>
                <w:b w:val="0"/>
              </w:rPr>
              <w:t>Стаж 3</w:t>
            </w:r>
          </w:p>
        </w:tc>
        <w:tc>
          <w:tcPr>
            <w:tcW w:type="dxa" w:w="3515"/>
            <w:vAlign w:val="center"/>
          </w:tcPr>
          <w:p>
            <w:pPr>
              <w:spacing w:before="60" w:after="60"/>
              <w:ind w:firstLine="0"/>
              <w:jc w:val="left"/>
            </w:pPr>
            <w:r>
              <w:rPr>
                <w:b w:val="0"/>
              </w:rPr>
              <w:t>2; 3; 4; також 2,99/3,01</w:t>
            </w:r>
          </w:p>
        </w:tc>
        <w:tc>
          <w:tcPr>
            <w:tcW w:type="dxa" w:w="4195"/>
            <w:vAlign w:val="center"/>
          </w:tcPr>
          <w:p>
            <w:pPr>
              <w:spacing w:before="60" w:after="60"/>
              <w:ind w:firstLine="0"/>
              <w:jc w:val="left"/>
            </w:pPr>
            <w:r>
              <w:rPr>
                <w:b w:val="0"/>
              </w:rPr>
              <w:t>3750; 3000; 3000; 3750/3000</w:t>
            </w:r>
          </w:p>
        </w:tc>
      </w:tr>
      <w:tr>
        <w:trPr>
          <w:cantSplit/>
        </w:trPr>
        <w:tc>
          <w:tcPr>
            <w:tcW w:type="dxa" w:w="1928"/>
            <w:vAlign w:val="center"/>
          </w:tcPr>
          <w:p>
            <w:pPr>
              <w:spacing w:before="60" w:after="60"/>
              <w:ind w:firstLine="0"/>
              <w:jc w:val="center"/>
            </w:pPr>
            <w:r>
              <w:rPr>
                <w:b w:val="0"/>
              </w:rPr>
              <w:t>Знижка 0</w:t>
            </w:r>
          </w:p>
        </w:tc>
        <w:tc>
          <w:tcPr>
            <w:tcW w:type="dxa" w:w="3515"/>
            <w:vAlign w:val="center"/>
          </w:tcPr>
          <w:p>
            <w:pPr>
              <w:spacing w:before="60" w:after="60"/>
              <w:ind w:firstLine="0"/>
              <w:jc w:val="left"/>
            </w:pPr>
            <w:r>
              <w:rPr>
                <w:b w:val="0"/>
              </w:rPr>
              <w:t>−0,01; 0; 0,01%</w:t>
            </w:r>
          </w:p>
        </w:tc>
        <w:tc>
          <w:tcPr>
            <w:tcW w:type="dxa" w:w="4195"/>
            <w:vAlign w:val="center"/>
          </w:tcPr>
          <w:p>
            <w:pPr>
              <w:spacing w:before="60" w:after="60"/>
              <w:ind w:firstLine="0"/>
              <w:jc w:val="left"/>
            </w:pPr>
            <w:r>
              <w:rPr>
                <w:b w:val="0"/>
              </w:rPr>
              <w:t>Відмова; 3000; 2999,70</w:t>
            </w:r>
          </w:p>
        </w:tc>
      </w:tr>
      <w:tr>
        <w:trPr>
          <w:cantSplit/>
        </w:trPr>
        <w:tc>
          <w:tcPr>
            <w:tcW w:type="dxa" w:w="1928"/>
            <w:vAlign w:val="center"/>
          </w:tcPr>
          <w:p>
            <w:pPr>
              <w:spacing w:before="60" w:after="60"/>
              <w:ind w:firstLine="0"/>
              <w:jc w:val="center"/>
            </w:pPr>
            <w:r>
              <w:rPr>
                <w:b w:val="0"/>
              </w:rPr>
              <w:t>Знижка 30</w:t>
            </w:r>
          </w:p>
        </w:tc>
        <w:tc>
          <w:tcPr>
            <w:tcW w:type="dxa" w:w="3515"/>
            <w:vAlign w:val="center"/>
          </w:tcPr>
          <w:p>
            <w:pPr>
              <w:spacing w:before="60" w:after="60"/>
              <w:ind w:firstLine="0"/>
              <w:jc w:val="left"/>
            </w:pPr>
            <w:r>
              <w:rPr>
                <w:b w:val="0"/>
              </w:rPr>
              <w:t>29/30/31%; також 29,99/30,01%</w:t>
            </w:r>
          </w:p>
        </w:tc>
        <w:tc>
          <w:tcPr>
            <w:tcW w:type="dxa" w:w="4195"/>
            <w:vAlign w:val="center"/>
          </w:tcPr>
          <w:p>
            <w:pPr>
              <w:spacing w:before="60" w:after="60"/>
              <w:ind w:firstLine="0"/>
              <w:jc w:val="left"/>
            </w:pPr>
            <w:r>
              <w:rPr>
                <w:b w:val="0"/>
              </w:rPr>
              <w:t>2130/2100/2100; 2100,30/2100</w:t>
            </w:r>
          </w:p>
        </w:tc>
      </w:tr>
      <w:tr>
        <w:trPr>
          <w:cantSplit/>
        </w:trPr>
        <w:tc>
          <w:tcPr>
            <w:tcW w:type="dxa" w:w="1928"/>
            <w:vAlign w:val="center"/>
          </w:tcPr>
          <w:p>
            <w:pPr>
              <w:spacing w:before="60" w:after="60"/>
              <w:ind w:firstLine="0"/>
              <w:jc w:val="center"/>
            </w:pPr>
            <w:r>
              <w:rPr>
                <w:b w:val="0"/>
              </w:rPr>
              <w:t>Половина копійки</w:t>
            </w:r>
          </w:p>
        </w:tc>
        <w:tc>
          <w:tcPr>
            <w:tcW w:type="dxa" w:w="3515"/>
            <w:vAlign w:val="center"/>
          </w:tcPr>
          <w:p>
            <w:pPr>
              <w:spacing w:before="60" w:after="60"/>
              <w:ind w:firstLine="0"/>
              <w:jc w:val="left"/>
            </w:pPr>
            <w:r>
              <w:rPr>
                <w:b w:val="0"/>
              </w:rPr>
              <w:t>0,0074999/0,0075/0,0075001%</w:t>
            </w:r>
          </w:p>
        </w:tc>
        <w:tc>
          <w:tcPr>
            <w:tcW w:type="dxa" w:w="4195"/>
            <w:vAlign w:val="center"/>
          </w:tcPr>
          <w:p>
            <w:pPr>
              <w:spacing w:before="60" w:after="60"/>
              <w:ind w:firstLine="0"/>
              <w:jc w:val="left"/>
            </w:pPr>
            <w:r>
              <w:rPr>
                <w:b w:val="0"/>
              </w:rPr>
              <w:t>2999,78/2999,78/2999,77</w:t>
            </w:r>
          </w:p>
        </w:tc>
      </w:tr>
    </w:tbl>
    <w:p>
      <w:pPr>
        <w:keepNext w:val="0"/>
      </w:pPr>
      <w:r>
        <w:rPr>
          <w:b w:val="0"/>
        </w:rPr>
        <w:t>Очікування у it.each записані явними числами. Наприклад, 5000 + 1250 надбавки − 1875 знижки = 4375 грн. Для знижки 0,0345%: 3000 − 1,035 = 2998,965, після округлення – 2998,97 грн. Такі перевірки не повторюють програмну формулу обчислення очікуваного значення.</w:t>
      </w:r>
    </w:p>
    <w:p>
      <w:pPr>
        <w:pStyle w:val="Heading1"/>
      </w:pPr>
      <w:r>
        <w:t>3 Історія комітів і реальний процес TDD</w:t>
      </w:r>
    </w:p>
    <w:p>
      <w:pPr>
        <w:keepNext w:val="0"/>
      </w:pPr>
      <w:r>
        <w:rPr>
          <w:b w:val="0"/>
        </w:rPr>
        <w:t>Знімок команди git log --oneline отримано через Playwright із переглядача незміненого виводу. Команда показує нові коміти першими; хронологічний порядок від старих до нових збережено окремо командою git log --reverse --oneline 3219dc2..HEAD. Нижче наведено хеші всіх 48 етапів; повний знімок git-history.png і журнали містяться у репозиторії.</w:t>
      </w:r>
    </w:p>
    <w:p>
      <w:pPr>
        <w:keepNext/>
      </w:pPr>
      <w:r>
        <w:rPr>
          <w:b w:val="0"/>
        </w:rPr>
        <w:t>У верхній частині історії видно завершення восьмого страхового циклу та попередні цикли. Повний журнал містить і всі вісім циклів паркування.</w:t>
      </w:r>
    </w:p>
    <w:p>
      <w:pPr>
        <w:keepNext/>
        <w:spacing w:line="240" w:lineRule="auto"/>
        <w:ind w:firstLine="0"/>
        <w:jc w:val="center"/>
      </w:pPr>
      <w:r>
        <w:rPr>
          <w:b w:val="0"/>
        </w:rPr>
      </w:r>
      <w:r>
        <w:drawing>
          <wp:inline xmlns:a="http://schemas.openxmlformats.org/drawingml/2006/main" xmlns:pic="http://schemas.openxmlformats.org/drawingml/2006/picture">
            <wp:extent cx="6048000" cy="4320000"/>
            <wp:docPr id="1" name="Picture 1"/>
            <wp:cNvGraphicFramePr>
              <a:graphicFrameLocks noChangeAspect="1"/>
            </wp:cNvGraphicFramePr>
            <a:graphic>
              <a:graphicData uri="http://schemas.openxmlformats.org/drawingml/2006/picture">
                <pic:pic>
                  <pic:nvPicPr>
                    <pic:cNvPr id="0" name="git-history-head.png"/>
                    <pic:cNvPicPr/>
                  </pic:nvPicPr>
                  <pic:blipFill>
                    <a:blip r:embed="rId11"/>
                    <a:stretch>
                      <a:fillRect/>
                    </a:stretch>
                  </pic:blipFill>
                  <pic:spPr>
                    <a:xfrm>
                      <a:off x="0" y="0"/>
                      <a:ext cx="6048000" cy="4320000"/>
                    </a:xfrm>
                    <a:prstGeom prst="rect"/>
                  </pic:spPr>
                </pic:pic>
              </a:graphicData>
            </a:graphic>
          </wp:inline>
        </w:drawing>
      </w:r>
    </w:p>
    <w:p>
      <w:pPr>
        <w:keepNext w:val="0"/>
        <w:spacing w:after="120"/>
        <w:ind w:firstLine="0"/>
        <w:jc w:val="center"/>
      </w:pPr>
      <w:r>
        <w:rPr>
          <w:b w:val="0"/>
        </w:rPr>
        <w:t>Рисунок 1 – Фактичний вивід git log --oneline у браузері</w:t>
      </w:r>
    </w:p>
    <w:p>
      <w:pPr>
        <w:keepNext/>
        <w:spacing w:before="120"/>
        <w:ind w:firstLine="0"/>
        <w:jc w:val="center"/>
      </w:pPr>
      <w:r>
        <w:rPr>
          <w:b w:val="0"/>
        </w:rPr>
        <w:t>Таблиця 5 – Окремі коміти кожного циклу П – паркування С – страхування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2835"/>
        <w:gridCol w:w="2835"/>
        <w:gridCol w:w="2835"/>
      </w:tblGrid>
      <w:tr>
        <w:trPr>
          <w:cantSplit/>
          <w:tblHeader/>
        </w:trPr>
        <w:tc>
          <w:tcPr>
            <w:tcW w:type="dxa" w:w="1134"/>
            <w:vAlign w:val="center"/>
          </w:tcPr>
          <w:p>
            <w:pPr>
              <w:spacing w:before="60" w:after="60"/>
              <w:ind w:firstLine="0"/>
              <w:jc w:val="center"/>
            </w:pPr>
            <w:r>
              <w:rPr>
                <w:b w:val="0"/>
              </w:rPr>
              <w:t>Цикл</w:t>
            </w:r>
          </w:p>
        </w:tc>
        <w:tc>
          <w:tcPr>
            <w:tcW w:type="dxa" w:w="2835"/>
            <w:vAlign w:val="center"/>
          </w:tcPr>
          <w:p>
            <w:pPr>
              <w:spacing w:before="60" w:after="60"/>
              <w:ind w:firstLine="0"/>
              <w:jc w:val="left"/>
            </w:pPr>
            <w:r>
              <w:rPr>
                <w:b w:val="0"/>
              </w:rPr>
              <w:t>Red</w:t>
            </w:r>
          </w:p>
        </w:tc>
        <w:tc>
          <w:tcPr>
            <w:tcW w:type="dxa" w:w="2835"/>
            <w:vAlign w:val="center"/>
          </w:tcPr>
          <w:p>
            <w:pPr>
              <w:spacing w:before="60" w:after="60"/>
              <w:ind w:firstLine="0"/>
              <w:jc w:val="left"/>
            </w:pPr>
            <w:r>
              <w:rPr>
                <w:b w:val="0"/>
              </w:rPr>
              <w:t>Green</w:t>
            </w:r>
          </w:p>
        </w:tc>
        <w:tc>
          <w:tcPr>
            <w:tcW w:type="dxa" w:w="2835"/>
            <w:vAlign w:val="center"/>
          </w:tcPr>
          <w:p>
            <w:pPr>
              <w:spacing w:before="60" w:after="60"/>
              <w:ind w:firstLine="0"/>
              <w:jc w:val="left"/>
            </w:pPr>
            <w:r>
              <w:rPr>
                <w:b w:val="0"/>
              </w:rPr>
              <w:t>Refactor</w:t>
            </w:r>
          </w:p>
        </w:tc>
      </w:tr>
      <w:tr>
        <w:trPr>
          <w:cantSplit/>
        </w:trPr>
        <w:tc>
          <w:tcPr>
            <w:tcW w:type="dxa" w:w="1134"/>
            <w:vAlign w:val="center"/>
          </w:tcPr>
          <w:p>
            <w:pPr>
              <w:spacing w:before="60" w:after="60"/>
              <w:ind w:firstLine="0"/>
              <w:jc w:val="center"/>
            </w:pPr>
            <w:r>
              <w:rPr>
                <w:b w:val="0"/>
              </w:rPr>
              <w:t>П01</w:t>
            </w:r>
          </w:p>
        </w:tc>
        <w:tc>
          <w:tcPr>
            <w:tcW w:type="dxa" w:w="2835"/>
            <w:vAlign w:val="center"/>
          </w:tcPr>
          <w:p>
            <w:pPr>
              <w:spacing w:before="60" w:after="60"/>
              <w:ind w:firstLine="0"/>
              <w:jc w:val="left"/>
            </w:pPr>
            <w:r>
              <w:rPr>
                <w:b w:val="0"/>
              </w:rPr>
              <w:t>f114db2</w:t>
            </w:r>
          </w:p>
        </w:tc>
        <w:tc>
          <w:tcPr>
            <w:tcW w:type="dxa" w:w="2835"/>
            <w:vAlign w:val="center"/>
          </w:tcPr>
          <w:p>
            <w:pPr>
              <w:spacing w:before="60" w:after="60"/>
              <w:ind w:firstLine="0"/>
              <w:jc w:val="left"/>
            </w:pPr>
            <w:r>
              <w:rPr>
                <w:b w:val="0"/>
              </w:rPr>
              <w:t>20b15d1</w:t>
            </w:r>
          </w:p>
        </w:tc>
        <w:tc>
          <w:tcPr>
            <w:tcW w:type="dxa" w:w="2835"/>
            <w:vAlign w:val="center"/>
          </w:tcPr>
          <w:p>
            <w:pPr>
              <w:spacing w:before="60" w:after="60"/>
              <w:ind w:firstLine="0"/>
              <w:jc w:val="left"/>
            </w:pPr>
            <w:r>
              <w:rPr>
                <w:b w:val="0"/>
              </w:rPr>
              <w:t>08f887f</w:t>
            </w:r>
          </w:p>
        </w:tc>
      </w:tr>
      <w:tr>
        <w:trPr>
          <w:cantSplit/>
        </w:trPr>
        <w:tc>
          <w:tcPr>
            <w:tcW w:type="dxa" w:w="1134"/>
            <w:vAlign w:val="center"/>
          </w:tcPr>
          <w:p>
            <w:pPr>
              <w:spacing w:before="60" w:after="60"/>
              <w:ind w:firstLine="0"/>
              <w:jc w:val="center"/>
            </w:pPr>
            <w:r>
              <w:rPr>
                <w:b w:val="0"/>
              </w:rPr>
              <w:t>П02</w:t>
            </w:r>
          </w:p>
        </w:tc>
        <w:tc>
          <w:tcPr>
            <w:tcW w:type="dxa" w:w="2835"/>
            <w:vAlign w:val="center"/>
          </w:tcPr>
          <w:p>
            <w:pPr>
              <w:spacing w:before="60" w:after="60"/>
              <w:ind w:firstLine="0"/>
              <w:jc w:val="left"/>
            </w:pPr>
            <w:r>
              <w:rPr>
                <w:b w:val="0"/>
              </w:rPr>
              <w:t>f9e5334</w:t>
            </w:r>
          </w:p>
        </w:tc>
        <w:tc>
          <w:tcPr>
            <w:tcW w:type="dxa" w:w="2835"/>
            <w:vAlign w:val="center"/>
          </w:tcPr>
          <w:p>
            <w:pPr>
              <w:spacing w:before="60" w:after="60"/>
              <w:ind w:firstLine="0"/>
              <w:jc w:val="left"/>
            </w:pPr>
            <w:r>
              <w:rPr>
                <w:b w:val="0"/>
              </w:rPr>
              <w:t>a8d4761</w:t>
            </w:r>
          </w:p>
        </w:tc>
        <w:tc>
          <w:tcPr>
            <w:tcW w:type="dxa" w:w="2835"/>
            <w:vAlign w:val="center"/>
          </w:tcPr>
          <w:p>
            <w:pPr>
              <w:spacing w:before="60" w:after="60"/>
              <w:ind w:firstLine="0"/>
              <w:jc w:val="left"/>
            </w:pPr>
            <w:r>
              <w:rPr>
                <w:b w:val="0"/>
              </w:rPr>
              <w:t>3dd6f93</w:t>
            </w:r>
          </w:p>
        </w:tc>
      </w:tr>
      <w:tr>
        <w:trPr>
          <w:cantSplit/>
        </w:trPr>
        <w:tc>
          <w:tcPr>
            <w:tcW w:type="dxa" w:w="1134"/>
            <w:vAlign w:val="center"/>
          </w:tcPr>
          <w:p>
            <w:pPr>
              <w:spacing w:before="60" w:after="60"/>
              <w:ind w:firstLine="0"/>
              <w:jc w:val="center"/>
            </w:pPr>
            <w:r>
              <w:rPr>
                <w:b w:val="0"/>
              </w:rPr>
              <w:t>П03</w:t>
            </w:r>
          </w:p>
        </w:tc>
        <w:tc>
          <w:tcPr>
            <w:tcW w:type="dxa" w:w="2835"/>
            <w:vAlign w:val="center"/>
          </w:tcPr>
          <w:p>
            <w:pPr>
              <w:spacing w:before="60" w:after="60"/>
              <w:ind w:firstLine="0"/>
              <w:jc w:val="left"/>
            </w:pPr>
            <w:r>
              <w:rPr>
                <w:b w:val="0"/>
              </w:rPr>
              <w:t>a2edd78</w:t>
            </w:r>
          </w:p>
        </w:tc>
        <w:tc>
          <w:tcPr>
            <w:tcW w:type="dxa" w:w="2835"/>
            <w:vAlign w:val="center"/>
          </w:tcPr>
          <w:p>
            <w:pPr>
              <w:spacing w:before="60" w:after="60"/>
              <w:ind w:firstLine="0"/>
              <w:jc w:val="left"/>
            </w:pPr>
            <w:r>
              <w:rPr>
                <w:b w:val="0"/>
              </w:rPr>
              <w:t>ed71d00</w:t>
            </w:r>
          </w:p>
        </w:tc>
        <w:tc>
          <w:tcPr>
            <w:tcW w:type="dxa" w:w="2835"/>
            <w:vAlign w:val="center"/>
          </w:tcPr>
          <w:p>
            <w:pPr>
              <w:spacing w:before="60" w:after="60"/>
              <w:ind w:firstLine="0"/>
              <w:jc w:val="left"/>
            </w:pPr>
            <w:r>
              <w:rPr>
                <w:b w:val="0"/>
              </w:rPr>
              <w:t>409ac8c</w:t>
            </w:r>
          </w:p>
        </w:tc>
      </w:tr>
      <w:tr>
        <w:trPr>
          <w:cantSplit/>
        </w:trPr>
        <w:tc>
          <w:tcPr>
            <w:tcW w:type="dxa" w:w="1134"/>
            <w:vAlign w:val="center"/>
          </w:tcPr>
          <w:p>
            <w:pPr>
              <w:spacing w:before="60" w:after="60"/>
              <w:ind w:firstLine="0"/>
              <w:jc w:val="center"/>
            </w:pPr>
            <w:r>
              <w:rPr>
                <w:b w:val="0"/>
              </w:rPr>
              <w:t>П04</w:t>
            </w:r>
          </w:p>
        </w:tc>
        <w:tc>
          <w:tcPr>
            <w:tcW w:type="dxa" w:w="2835"/>
            <w:vAlign w:val="center"/>
          </w:tcPr>
          <w:p>
            <w:pPr>
              <w:spacing w:before="60" w:after="60"/>
              <w:ind w:firstLine="0"/>
              <w:jc w:val="left"/>
            </w:pPr>
            <w:r>
              <w:rPr>
                <w:b w:val="0"/>
              </w:rPr>
              <w:t>f610f1f</w:t>
            </w:r>
          </w:p>
        </w:tc>
        <w:tc>
          <w:tcPr>
            <w:tcW w:type="dxa" w:w="2835"/>
            <w:vAlign w:val="center"/>
          </w:tcPr>
          <w:p>
            <w:pPr>
              <w:spacing w:before="60" w:after="60"/>
              <w:ind w:firstLine="0"/>
              <w:jc w:val="left"/>
            </w:pPr>
            <w:r>
              <w:rPr>
                <w:b w:val="0"/>
              </w:rPr>
              <w:t>132132c</w:t>
            </w:r>
          </w:p>
        </w:tc>
        <w:tc>
          <w:tcPr>
            <w:tcW w:type="dxa" w:w="2835"/>
            <w:vAlign w:val="center"/>
          </w:tcPr>
          <w:p>
            <w:pPr>
              <w:spacing w:before="60" w:after="60"/>
              <w:ind w:firstLine="0"/>
              <w:jc w:val="left"/>
            </w:pPr>
            <w:r>
              <w:rPr>
                <w:b w:val="0"/>
              </w:rPr>
              <w:t>bd1636b</w:t>
            </w:r>
          </w:p>
        </w:tc>
      </w:tr>
      <w:tr>
        <w:trPr>
          <w:cantSplit/>
        </w:trPr>
        <w:tc>
          <w:tcPr>
            <w:tcW w:type="dxa" w:w="1134"/>
            <w:vAlign w:val="center"/>
          </w:tcPr>
          <w:p>
            <w:pPr>
              <w:spacing w:before="60" w:after="60"/>
              <w:ind w:firstLine="0"/>
              <w:jc w:val="center"/>
            </w:pPr>
            <w:r>
              <w:rPr>
                <w:b w:val="0"/>
              </w:rPr>
              <w:t>П05</w:t>
            </w:r>
          </w:p>
        </w:tc>
        <w:tc>
          <w:tcPr>
            <w:tcW w:type="dxa" w:w="2835"/>
            <w:vAlign w:val="center"/>
          </w:tcPr>
          <w:p>
            <w:pPr>
              <w:spacing w:before="60" w:after="60"/>
              <w:ind w:firstLine="0"/>
              <w:jc w:val="left"/>
            </w:pPr>
            <w:r>
              <w:rPr>
                <w:b w:val="0"/>
              </w:rPr>
              <w:t>7be2a89</w:t>
            </w:r>
          </w:p>
        </w:tc>
        <w:tc>
          <w:tcPr>
            <w:tcW w:type="dxa" w:w="2835"/>
            <w:vAlign w:val="center"/>
          </w:tcPr>
          <w:p>
            <w:pPr>
              <w:spacing w:before="60" w:after="60"/>
              <w:ind w:firstLine="0"/>
              <w:jc w:val="left"/>
            </w:pPr>
            <w:r>
              <w:rPr>
                <w:b w:val="0"/>
              </w:rPr>
              <w:t>5b45d54</w:t>
            </w:r>
          </w:p>
        </w:tc>
        <w:tc>
          <w:tcPr>
            <w:tcW w:type="dxa" w:w="2835"/>
            <w:vAlign w:val="center"/>
          </w:tcPr>
          <w:p>
            <w:pPr>
              <w:spacing w:before="60" w:after="60"/>
              <w:ind w:firstLine="0"/>
              <w:jc w:val="left"/>
            </w:pPr>
            <w:r>
              <w:rPr>
                <w:b w:val="0"/>
              </w:rPr>
              <w:t>0692c42</w:t>
            </w:r>
          </w:p>
        </w:tc>
      </w:tr>
      <w:tr>
        <w:trPr>
          <w:cantSplit/>
        </w:trPr>
        <w:tc>
          <w:tcPr>
            <w:tcW w:type="dxa" w:w="1134"/>
            <w:vAlign w:val="center"/>
          </w:tcPr>
          <w:p>
            <w:pPr>
              <w:spacing w:before="60" w:after="60"/>
              <w:ind w:firstLine="0"/>
              <w:jc w:val="center"/>
            </w:pPr>
            <w:r>
              <w:rPr>
                <w:b w:val="0"/>
              </w:rPr>
              <w:t>П06</w:t>
            </w:r>
          </w:p>
        </w:tc>
        <w:tc>
          <w:tcPr>
            <w:tcW w:type="dxa" w:w="2835"/>
            <w:vAlign w:val="center"/>
          </w:tcPr>
          <w:p>
            <w:pPr>
              <w:spacing w:before="60" w:after="60"/>
              <w:ind w:firstLine="0"/>
              <w:jc w:val="left"/>
            </w:pPr>
            <w:r>
              <w:rPr>
                <w:b w:val="0"/>
              </w:rPr>
              <w:t>a9f4b87</w:t>
            </w:r>
          </w:p>
        </w:tc>
        <w:tc>
          <w:tcPr>
            <w:tcW w:type="dxa" w:w="2835"/>
            <w:vAlign w:val="center"/>
          </w:tcPr>
          <w:p>
            <w:pPr>
              <w:spacing w:before="60" w:after="60"/>
              <w:ind w:firstLine="0"/>
              <w:jc w:val="left"/>
            </w:pPr>
            <w:r>
              <w:rPr>
                <w:b w:val="0"/>
              </w:rPr>
              <w:t>2b91254</w:t>
            </w:r>
          </w:p>
        </w:tc>
        <w:tc>
          <w:tcPr>
            <w:tcW w:type="dxa" w:w="2835"/>
            <w:vAlign w:val="center"/>
          </w:tcPr>
          <w:p>
            <w:pPr>
              <w:spacing w:before="60" w:after="60"/>
              <w:ind w:firstLine="0"/>
              <w:jc w:val="left"/>
            </w:pPr>
            <w:r>
              <w:rPr>
                <w:b w:val="0"/>
              </w:rPr>
              <w:t>9dcb104</w:t>
            </w:r>
          </w:p>
        </w:tc>
      </w:tr>
      <w:tr>
        <w:trPr>
          <w:cantSplit/>
        </w:trPr>
        <w:tc>
          <w:tcPr>
            <w:tcW w:type="dxa" w:w="1134"/>
            <w:vAlign w:val="center"/>
          </w:tcPr>
          <w:p>
            <w:pPr>
              <w:spacing w:before="60" w:after="60"/>
              <w:ind w:firstLine="0"/>
              <w:jc w:val="center"/>
            </w:pPr>
            <w:r>
              <w:rPr>
                <w:b w:val="0"/>
              </w:rPr>
              <w:t>П07</w:t>
            </w:r>
          </w:p>
        </w:tc>
        <w:tc>
          <w:tcPr>
            <w:tcW w:type="dxa" w:w="2835"/>
            <w:vAlign w:val="center"/>
          </w:tcPr>
          <w:p>
            <w:pPr>
              <w:spacing w:before="60" w:after="60"/>
              <w:ind w:firstLine="0"/>
              <w:jc w:val="left"/>
            </w:pPr>
            <w:r>
              <w:rPr>
                <w:b w:val="0"/>
              </w:rPr>
              <w:t>84faebc</w:t>
            </w:r>
          </w:p>
        </w:tc>
        <w:tc>
          <w:tcPr>
            <w:tcW w:type="dxa" w:w="2835"/>
            <w:vAlign w:val="center"/>
          </w:tcPr>
          <w:p>
            <w:pPr>
              <w:spacing w:before="60" w:after="60"/>
              <w:ind w:firstLine="0"/>
              <w:jc w:val="left"/>
            </w:pPr>
            <w:r>
              <w:rPr>
                <w:b w:val="0"/>
              </w:rPr>
              <w:t>b058950</w:t>
            </w:r>
          </w:p>
        </w:tc>
        <w:tc>
          <w:tcPr>
            <w:tcW w:type="dxa" w:w="2835"/>
            <w:vAlign w:val="center"/>
          </w:tcPr>
          <w:p>
            <w:pPr>
              <w:spacing w:before="60" w:after="60"/>
              <w:ind w:firstLine="0"/>
              <w:jc w:val="left"/>
            </w:pPr>
            <w:r>
              <w:rPr>
                <w:b w:val="0"/>
              </w:rPr>
              <w:t>c146b6d</w:t>
            </w:r>
          </w:p>
        </w:tc>
      </w:tr>
      <w:tr>
        <w:trPr>
          <w:cantSplit/>
        </w:trPr>
        <w:tc>
          <w:tcPr>
            <w:tcW w:type="dxa" w:w="1134"/>
            <w:vAlign w:val="center"/>
          </w:tcPr>
          <w:p>
            <w:pPr>
              <w:spacing w:before="60" w:after="60"/>
              <w:ind w:firstLine="0"/>
              <w:jc w:val="center"/>
            </w:pPr>
            <w:r>
              <w:rPr>
                <w:b w:val="0"/>
              </w:rPr>
              <w:t>П08</w:t>
            </w:r>
          </w:p>
        </w:tc>
        <w:tc>
          <w:tcPr>
            <w:tcW w:type="dxa" w:w="2835"/>
            <w:vAlign w:val="center"/>
          </w:tcPr>
          <w:p>
            <w:pPr>
              <w:spacing w:before="60" w:after="60"/>
              <w:ind w:firstLine="0"/>
              <w:jc w:val="left"/>
            </w:pPr>
            <w:r>
              <w:rPr>
                <w:b w:val="0"/>
              </w:rPr>
              <w:t>4d952f3</w:t>
            </w:r>
          </w:p>
        </w:tc>
        <w:tc>
          <w:tcPr>
            <w:tcW w:type="dxa" w:w="2835"/>
            <w:vAlign w:val="center"/>
          </w:tcPr>
          <w:p>
            <w:pPr>
              <w:spacing w:before="60" w:after="60"/>
              <w:ind w:firstLine="0"/>
              <w:jc w:val="left"/>
            </w:pPr>
            <w:r>
              <w:rPr>
                <w:b w:val="0"/>
              </w:rPr>
              <w:t>e676de8</w:t>
            </w:r>
          </w:p>
        </w:tc>
        <w:tc>
          <w:tcPr>
            <w:tcW w:type="dxa" w:w="2835"/>
            <w:vAlign w:val="center"/>
          </w:tcPr>
          <w:p>
            <w:pPr>
              <w:spacing w:before="60" w:after="60"/>
              <w:ind w:firstLine="0"/>
              <w:jc w:val="left"/>
            </w:pPr>
            <w:r>
              <w:rPr>
                <w:b w:val="0"/>
              </w:rPr>
              <w:t>684df52</w:t>
            </w:r>
          </w:p>
        </w:tc>
      </w:tr>
      <w:tr>
        <w:trPr>
          <w:cantSplit/>
        </w:trPr>
        <w:tc>
          <w:tcPr>
            <w:tcW w:type="dxa" w:w="1134"/>
            <w:vAlign w:val="center"/>
          </w:tcPr>
          <w:p>
            <w:pPr>
              <w:spacing w:before="60" w:after="60"/>
              <w:ind w:firstLine="0"/>
              <w:jc w:val="center"/>
            </w:pPr>
            <w:r>
              <w:rPr>
                <w:b w:val="0"/>
              </w:rPr>
              <w:t>С01</w:t>
            </w:r>
          </w:p>
        </w:tc>
        <w:tc>
          <w:tcPr>
            <w:tcW w:type="dxa" w:w="2835"/>
            <w:vAlign w:val="center"/>
          </w:tcPr>
          <w:p>
            <w:pPr>
              <w:spacing w:before="60" w:after="60"/>
              <w:ind w:firstLine="0"/>
              <w:jc w:val="left"/>
            </w:pPr>
            <w:r>
              <w:rPr>
                <w:b w:val="0"/>
              </w:rPr>
              <w:t>3960548</w:t>
            </w:r>
          </w:p>
        </w:tc>
        <w:tc>
          <w:tcPr>
            <w:tcW w:type="dxa" w:w="2835"/>
            <w:vAlign w:val="center"/>
          </w:tcPr>
          <w:p>
            <w:pPr>
              <w:spacing w:before="60" w:after="60"/>
              <w:ind w:firstLine="0"/>
              <w:jc w:val="left"/>
            </w:pPr>
            <w:r>
              <w:rPr>
                <w:b w:val="0"/>
              </w:rPr>
              <w:t>558d84e</w:t>
            </w:r>
          </w:p>
        </w:tc>
        <w:tc>
          <w:tcPr>
            <w:tcW w:type="dxa" w:w="2835"/>
            <w:vAlign w:val="center"/>
          </w:tcPr>
          <w:p>
            <w:pPr>
              <w:spacing w:before="60" w:after="60"/>
              <w:ind w:firstLine="0"/>
              <w:jc w:val="left"/>
            </w:pPr>
            <w:r>
              <w:rPr>
                <w:b w:val="0"/>
              </w:rPr>
              <w:t>54daef5</w:t>
            </w:r>
          </w:p>
        </w:tc>
      </w:tr>
      <w:tr>
        <w:trPr>
          <w:cantSplit/>
        </w:trPr>
        <w:tc>
          <w:tcPr>
            <w:tcW w:type="dxa" w:w="1134"/>
            <w:vAlign w:val="center"/>
          </w:tcPr>
          <w:p>
            <w:pPr>
              <w:spacing w:before="60" w:after="60"/>
              <w:ind w:firstLine="0"/>
              <w:jc w:val="center"/>
            </w:pPr>
            <w:r>
              <w:rPr>
                <w:b w:val="0"/>
              </w:rPr>
              <w:t>С02</w:t>
            </w:r>
          </w:p>
        </w:tc>
        <w:tc>
          <w:tcPr>
            <w:tcW w:type="dxa" w:w="2835"/>
            <w:vAlign w:val="center"/>
          </w:tcPr>
          <w:p>
            <w:pPr>
              <w:spacing w:before="60" w:after="60"/>
              <w:ind w:firstLine="0"/>
              <w:jc w:val="left"/>
            </w:pPr>
            <w:r>
              <w:rPr>
                <w:b w:val="0"/>
              </w:rPr>
              <w:t>04f36be</w:t>
            </w:r>
          </w:p>
        </w:tc>
        <w:tc>
          <w:tcPr>
            <w:tcW w:type="dxa" w:w="2835"/>
            <w:vAlign w:val="center"/>
          </w:tcPr>
          <w:p>
            <w:pPr>
              <w:spacing w:before="60" w:after="60"/>
              <w:ind w:firstLine="0"/>
              <w:jc w:val="left"/>
            </w:pPr>
            <w:r>
              <w:rPr>
                <w:b w:val="0"/>
              </w:rPr>
              <w:t>0365113</w:t>
            </w:r>
          </w:p>
        </w:tc>
        <w:tc>
          <w:tcPr>
            <w:tcW w:type="dxa" w:w="2835"/>
            <w:vAlign w:val="center"/>
          </w:tcPr>
          <w:p>
            <w:pPr>
              <w:spacing w:before="60" w:after="60"/>
              <w:ind w:firstLine="0"/>
              <w:jc w:val="left"/>
            </w:pPr>
            <w:r>
              <w:rPr>
                <w:b w:val="0"/>
              </w:rPr>
              <w:t>ffbcb76</w:t>
            </w:r>
          </w:p>
        </w:tc>
      </w:tr>
      <w:tr>
        <w:trPr>
          <w:cantSplit/>
        </w:trPr>
        <w:tc>
          <w:tcPr>
            <w:tcW w:type="dxa" w:w="1134"/>
            <w:vAlign w:val="center"/>
          </w:tcPr>
          <w:p>
            <w:pPr>
              <w:spacing w:before="60" w:after="60"/>
              <w:ind w:firstLine="0"/>
              <w:jc w:val="center"/>
            </w:pPr>
            <w:r>
              <w:rPr>
                <w:b w:val="0"/>
              </w:rPr>
              <w:t>С03</w:t>
            </w:r>
          </w:p>
        </w:tc>
        <w:tc>
          <w:tcPr>
            <w:tcW w:type="dxa" w:w="2835"/>
            <w:vAlign w:val="center"/>
          </w:tcPr>
          <w:p>
            <w:pPr>
              <w:spacing w:before="60" w:after="60"/>
              <w:ind w:firstLine="0"/>
              <w:jc w:val="left"/>
            </w:pPr>
            <w:r>
              <w:rPr>
                <w:b w:val="0"/>
              </w:rPr>
              <w:t>a56f0ca</w:t>
            </w:r>
          </w:p>
        </w:tc>
        <w:tc>
          <w:tcPr>
            <w:tcW w:type="dxa" w:w="2835"/>
            <w:vAlign w:val="center"/>
          </w:tcPr>
          <w:p>
            <w:pPr>
              <w:spacing w:before="60" w:after="60"/>
              <w:ind w:firstLine="0"/>
              <w:jc w:val="left"/>
            </w:pPr>
            <w:r>
              <w:rPr>
                <w:b w:val="0"/>
              </w:rPr>
              <w:t>5434792</w:t>
            </w:r>
          </w:p>
        </w:tc>
        <w:tc>
          <w:tcPr>
            <w:tcW w:type="dxa" w:w="2835"/>
            <w:vAlign w:val="center"/>
          </w:tcPr>
          <w:p>
            <w:pPr>
              <w:spacing w:before="60" w:after="60"/>
              <w:ind w:firstLine="0"/>
              <w:jc w:val="left"/>
            </w:pPr>
            <w:r>
              <w:rPr>
                <w:b w:val="0"/>
              </w:rPr>
              <w:t>00fc60b</w:t>
            </w:r>
          </w:p>
        </w:tc>
      </w:tr>
      <w:tr>
        <w:trPr>
          <w:cantSplit/>
        </w:trPr>
        <w:tc>
          <w:tcPr>
            <w:tcW w:type="dxa" w:w="1134"/>
            <w:vAlign w:val="center"/>
          </w:tcPr>
          <w:p>
            <w:pPr>
              <w:spacing w:before="60" w:after="60"/>
              <w:ind w:firstLine="0"/>
              <w:jc w:val="center"/>
            </w:pPr>
            <w:r>
              <w:rPr>
                <w:b w:val="0"/>
              </w:rPr>
              <w:t>С04</w:t>
            </w:r>
          </w:p>
        </w:tc>
        <w:tc>
          <w:tcPr>
            <w:tcW w:type="dxa" w:w="2835"/>
            <w:vAlign w:val="center"/>
          </w:tcPr>
          <w:p>
            <w:pPr>
              <w:spacing w:before="60" w:after="60"/>
              <w:ind w:firstLine="0"/>
              <w:jc w:val="left"/>
            </w:pPr>
            <w:r>
              <w:rPr>
                <w:b w:val="0"/>
              </w:rPr>
              <w:t>14ca255</w:t>
            </w:r>
          </w:p>
        </w:tc>
        <w:tc>
          <w:tcPr>
            <w:tcW w:type="dxa" w:w="2835"/>
            <w:vAlign w:val="center"/>
          </w:tcPr>
          <w:p>
            <w:pPr>
              <w:spacing w:before="60" w:after="60"/>
              <w:ind w:firstLine="0"/>
              <w:jc w:val="left"/>
            </w:pPr>
            <w:r>
              <w:rPr>
                <w:b w:val="0"/>
              </w:rPr>
              <w:t>154bf30</w:t>
            </w:r>
          </w:p>
        </w:tc>
        <w:tc>
          <w:tcPr>
            <w:tcW w:type="dxa" w:w="2835"/>
            <w:vAlign w:val="center"/>
          </w:tcPr>
          <w:p>
            <w:pPr>
              <w:spacing w:before="60" w:after="60"/>
              <w:ind w:firstLine="0"/>
              <w:jc w:val="left"/>
            </w:pPr>
            <w:r>
              <w:rPr>
                <w:b w:val="0"/>
              </w:rPr>
              <w:t>f6587b0</w:t>
            </w:r>
          </w:p>
        </w:tc>
      </w:tr>
      <w:tr>
        <w:trPr>
          <w:cantSplit/>
        </w:trPr>
        <w:tc>
          <w:tcPr>
            <w:tcW w:type="dxa" w:w="1134"/>
            <w:vAlign w:val="center"/>
          </w:tcPr>
          <w:p>
            <w:pPr>
              <w:spacing w:before="60" w:after="60"/>
              <w:ind w:firstLine="0"/>
              <w:jc w:val="center"/>
            </w:pPr>
            <w:r>
              <w:rPr>
                <w:b w:val="0"/>
              </w:rPr>
              <w:t>С05</w:t>
            </w:r>
          </w:p>
        </w:tc>
        <w:tc>
          <w:tcPr>
            <w:tcW w:type="dxa" w:w="2835"/>
            <w:vAlign w:val="center"/>
          </w:tcPr>
          <w:p>
            <w:pPr>
              <w:spacing w:before="60" w:after="60"/>
              <w:ind w:firstLine="0"/>
              <w:jc w:val="left"/>
            </w:pPr>
            <w:r>
              <w:rPr>
                <w:b w:val="0"/>
              </w:rPr>
              <w:t>010d357</w:t>
            </w:r>
          </w:p>
        </w:tc>
        <w:tc>
          <w:tcPr>
            <w:tcW w:type="dxa" w:w="2835"/>
            <w:vAlign w:val="center"/>
          </w:tcPr>
          <w:p>
            <w:pPr>
              <w:spacing w:before="60" w:after="60"/>
              <w:ind w:firstLine="0"/>
              <w:jc w:val="left"/>
            </w:pPr>
            <w:r>
              <w:rPr>
                <w:b w:val="0"/>
              </w:rPr>
              <w:t>2efe14c</w:t>
            </w:r>
          </w:p>
        </w:tc>
        <w:tc>
          <w:tcPr>
            <w:tcW w:type="dxa" w:w="2835"/>
            <w:vAlign w:val="center"/>
          </w:tcPr>
          <w:p>
            <w:pPr>
              <w:spacing w:before="60" w:after="60"/>
              <w:ind w:firstLine="0"/>
              <w:jc w:val="left"/>
            </w:pPr>
            <w:r>
              <w:rPr>
                <w:b w:val="0"/>
              </w:rPr>
              <w:t>9540017</w:t>
            </w:r>
          </w:p>
        </w:tc>
      </w:tr>
      <w:tr>
        <w:trPr>
          <w:cantSplit/>
        </w:trPr>
        <w:tc>
          <w:tcPr>
            <w:tcW w:type="dxa" w:w="1134"/>
            <w:vAlign w:val="center"/>
          </w:tcPr>
          <w:p>
            <w:pPr>
              <w:spacing w:before="60" w:after="60"/>
              <w:ind w:firstLine="0"/>
              <w:jc w:val="center"/>
            </w:pPr>
            <w:r>
              <w:rPr>
                <w:b w:val="0"/>
              </w:rPr>
              <w:t>С06</w:t>
            </w:r>
          </w:p>
        </w:tc>
        <w:tc>
          <w:tcPr>
            <w:tcW w:type="dxa" w:w="2835"/>
            <w:vAlign w:val="center"/>
          </w:tcPr>
          <w:p>
            <w:pPr>
              <w:spacing w:before="60" w:after="60"/>
              <w:ind w:firstLine="0"/>
              <w:jc w:val="left"/>
            </w:pPr>
            <w:r>
              <w:rPr>
                <w:b w:val="0"/>
              </w:rPr>
              <w:t>bdb20a6</w:t>
            </w:r>
          </w:p>
        </w:tc>
        <w:tc>
          <w:tcPr>
            <w:tcW w:type="dxa" w:w="2835"/>
            <w:vAlign w:val="center"/>
          </w:tcPr>
          <w:p>
            <w:pPr>
              <w:spacing w:before="60" w:after="60"/>
              <w:ind w:firstLine="0"/>
              <w:jc w:val="left"/>
            </w:pPr>
            <w:r>
              <w:rPr>
                <w:b w:val="0"/>
              </w:rPr>
              <w:t>ca70449</w:t>
            </w:r>
          </w:p>
        </w:tc>
        <w:tc>
          <w:tcPr>
            <w:tcW w:type="dxa" w:w="2835"/>
            <w:vAlign w:val="center"/>
          </w:tcPr>
          <w:p>
            <w:pPr>
              <w:spacing w:before="60" w:after="60"/>
              <w:ind w:firstLine="0"/>
              <w:jc w:val="left"/>
            </w:pPr>
            <w:r>
              <w:rPr>
                <w:b w:val="0"/>
              </w:rPr>
              <w:t>898352b</w:t>
            </w:r>
          </w:p>
        </w:tc>
      </w:tr>
      <w:tr>
        <w:trPr>
          <w:cantSplit/>
        </w:trPr>
        <w:tc>
          <w:tcPr>
            <w:tcW w:type="dxa" w:w="1134"/>
            <w:vAlign w:val="center"/>
          </w:tcPr>
          <w:p>
            <w:pPr>
              <w:spacing w:before="60" w:after="60"/>
              <w:ind w:firstLine="0"/>
              <w:jc w:val="center"/>
            </w:pPr>
            <w:r>
              <w:rPr>
                <w:b w:val="0"/>
              </w:rPr>
              <w:t>С07</w:t>
            </w:r>
          </w:p>
        </w:tc>
        <w:tc>
          <w:tcPr>
            <w:tcW w:type="dxa" w:w="2835"/>
            <w:vAlign w:val="center"/>
          </w:tcPr>
          <w:p>
            <w:pPr>
              <w:spacing w:before="60" w:after="60"/>
              <w:ind w:firstLine="0"/>
              <w:jc w:val="left"/>
            </w:pPr>
            <w:r>
              <w:rPr>
                <w:b w:val="0"/>
              </w:rPr>
              <w:t>b84689e</w:t>
            </w:r>
          </w:p>
        </w:tc>
        <w:tc>
          <w:tcPr>
            <w:tcW w:type="dxa" w:w="2835"/>
            <w:vAlign w:val="center"/>
          </w:tcPr>
          <w:p>
            <w:pPr>
              <w:spacing w:before="60" w:after="60"/>
              <w:ind w:firstLine="0"/>
              <w:jc w:val="left"/>
            </w:pPr>
            <w:r>
              <w:rPr>
                <w:b w:val="0"/>
              </w:rPr>
              <w:t>cdb501e</w:t>
            </w:r>
          </w:p>
        </w:tc>
        <w:tc>
          <w:tcPr>
            <w:tcW w:type="dxa" w:w="2835"/>
            <w:vAlign w:val="center"/>
          </w:tcPr>
          <w:p>
            <w:pPr>
              <w:spacing w:before="60" w:after="60"/>
              <w:ind w:firstLine="0"/>
              <w:jc w:val="left"/>
            </w:pPr>
            <w:r>
              <w:rPr>
                <w:b w:val="0"/>
              </w:rPr>
              <w:t>e779156</w:t>
            </w:r>
          </w:p>
        </w:tc>
      </w:tr>
      <w:tr>
        <w:trPr>
          <w:cantSplit/>
        </w:trPr>
        <w:tc>
          <w:tcPr>
            <w:tcW w:type="dxa" w:w="1134"/>
            <w:vAlign w:val="center"/>
          </w:tcPr>
          <w:p>
            <w:pPr>
              <w:spacing w:before="60" w:after="60"/>
              <w:ind w:firstLine="0"/>
              <w:jc w:val="center"/>
            </w:pPr>
            <w:r>
              <w:rPr>
                <w:b w:val="0"/>
              </w:rPr>
              <w:t>С08</w:t>
            </w:r>
          </w:p>
        </w:tc>
        <w:tc>
          <w:tcPr>
            <w:tcW w:type="dxa" w:w="2835"/>
            <w:vAlign w:val="center"/>
          </w:tcPr>
          <w:p>
            <w:pPr>
              <w:spacing w:before="60" w:after="60"/>
              <w:ind w:firstLine="0"/>
              <w:jc w:val="left"/>
            </w:pPr>
            <w:r>
              <w:rPr>
                <w:b w:val="0"/>
              </w:rPr>
              <w:t>665dd92</w:t>
            </w:r>
          </w:p>
        </w:tc>
        <w:tc>
          <w:tcPr>
            <w:tcW w:type="dxa" w:w="2835"/>
            <w:vAlign w:val="center"/>
          </w:tcPr>
          <w:p>
            <w:pPr>
              <w:spacing w:before="60" w:after="60"/>
              <w:ind w:firstLine="0"/>
              <w:jc w:val="left"/>
            </w:pPr>
            <w:r>
              <w:rPr>
                <w:b w:val="0"/>
              </w:rPr>
              <w:t>daecb80</w:t>
            </w:r>
          </w:p>
        </w:tc>
        <w:tc>
          <w:tcPr>
            <w:tcW w:type="dxa" w:w="2835"/>
            <w:vAlign w:val="center"/>
          </w:tcPr>
          <w:p>
            <w:pPr>
              <w:spacing w:before="60" w:after="60"/>
              <w:ind w:firstLine="0"/>
              <w:jc w:val="left"/>
            </w:pPr>
            <w:r>
              <w:rPr>
                <w:b w:val="0"/>
              </w:rPr>
              <w:t>dcd4409</w:t>
            </w:r>
          </w:p>
        </w:tc>
      </w:tr>
    </w:tbl>
    <w:p>
      <w:pPr>
        <w:keepNext w:val="0"/>
      </w:pPr>
      <w:r>
        <w:rPr>
          <w:b w:val="0"/>
        </w:rPr>
        <w:t>Автоматичний аудит перевірив батьківський коміт, порядок етапів, незмінність тестів у Green, відсутність змін продуктового файлу в Red і збіг знімків коду з вмістом відповідного коміту. Усі 16 Red мають exit 1, усі 16 Green та 16 Refactor – exit 0. Перші Red обох модулів – помилки імпорту, як дозволяє методичка.</w:t>
      </w:r>
    </w:p>
    <w:p>
      <w:pPr>
        <w:keepNext/>
      </w:pPr>
      <w:r>
        <w:rPr>
          <w:b w:val="0"/>
        </w:rPr>
        <w:t>Red страхування, цикл 2: чотири сценарії віку 0–3 роки очікували 3000 грн, проте попередня мінімальна реалізація повертала 0. Тест падав саме через відсутність базової ціни.</w:t>
      </w:r>
    </w:p>
    <w:p>
      <w:pPr>
        <w:keepNext/>
        <w:spacing w:line="240" w:lineRule="auto"/>
        <w:ind w:firstLine="0"/>
        <w:jc w:val="center"/>
      </w:pPr>
      <w:r>
        <w:rPr>
          <w:b w:val="0"/>
        </w:rPr>
      </w:r>
      <w:r>
        <w:drawing>
          <wp:inline xmlns:a="http://schemas.openxmlformats.org/drawingml/2006/main" xmlns:pic="http://schemas.openxmlformats.org/drawingml/2006/picture">
            <wp:extent cx="6120000" cy="6045784"/>
            <wp:docPr id="2" name="Picture 2"/>
            <wp:cNvGraphicFramePr>
              <a:graphicFrameLocks noChangeAspect="1"/>
            </wp:cNvGraphicFramePr>
            <a:graphic>
              <a:graphicData uri="http://schemas.openxmlformats.org/drawingml/2006/picture">
                <pic:pic>
                  <pic:nvPicPr>
                    <pic:cNvPr id="0" name="insurance-02-red.png"/>
                    <pic:cNvPicPr/>
                  </pic:nvPicPr>
                  <pic:blipFill>
                    <a:blip r:embed="rId12"/>
                    <a:stretch>
                      <a:fillRect/>
                    </a:stretch>
                  </pic:blipFill>
                  <pic:spPr>
                    <a:xfrm>
                      <a:off x="0" y="0"/>
                      <a:ext cx="6120000" cy="6045784"/>
                    </a:xfrm>
                    <a:prstGeom prst="rect"/>
                  </pic:spPr>
                </pic:pic>
              </a:graphicData>
            </a:graphic>
          </wp:inline>
        </w:drawing>
      </w:r>
    </w:p>
    <w:p>
      <w:pPr>
        <w:keepNext w:val="0"/>
        <w:spacing w:after="120"/>
        <w:ind w:firstLine="0"/>
        <w:jc w:val="center"/>
      </w:pPr>
      <w:r>
        <w:rPr>
          <w:b w:val="0"/>
        </w:rPr>
        <w:t>Рисунок 2 – Red базової страхової ціни</w:t>
      </w:r>
    </w:p>
    <w:p>
      <w:pPr>
        <w:keepNext/>
      </w:pPr>
      <w:r>
        <w:rPr>
          <w:b w:val="0"/>
        </w:rPr>
        <w:t>Green того самого циклу: мінімальне повернення 3000 грн задовольнило нові тести. Категорії старших автомобілів ще не реалізовувалися. Повний набір із 206 тестів залишився успішним.</w:t>
      </w:r>
    </w:p>
    <w:p>
      <w:pPr>
        <w:keepNext/>
        <w:spacing w:line="240" w:lineRule="auto"/>
        <w:ind w:firstLine="0"/>
        <w:jc w:val="center"/>
      </w:pPr>
      <w:r>
        <w:rPr>
          <w:b w:val="0"/>
        </w:rPr>
      </w:r>
      <w:r>
        <w:drawing>
          <wp:inline xmlns:a="http://schemas.openxmlformats.org/drawingml/2006/main" xmlns:pic="http://schemas.openxmlformats.org/drawingml/2006/picture">
            <wp:extent cx="6120000" cy="2449142"/>
            <wp:docPr id="3" name="Picture 3"/>
            <wp:cNvGraphicFramePr>
              <a:graphicFrameLocks noChangeAspect="1"/>
            </wp:cNvGraphicFramePr>
            <a:graphic>
              <a:graphicData uri="http://schemas.openxmlformats.org/drawingml/2006/picture">
                <pic:pic>
                  <pic:nvPicPr>
                    <pic:cNvPr id="0" name="insurance-02-green.png"/>
                    <pic:cNvPicPr/>
                  </pic:nvPicPr>
                  <pic:blipFill>
                    <a:blip r:embed="rId13"/>
                    <a:stretch>
                      <a:fillRect/>
                    </a:stretch>
                  </pic:blipFill>
                  <pic:spPr>
                    <a:xfrm>
                      <a:off x="0" y="0"/>
                      <a:ext cx="6120000" cy="2449142"/>
                    </a:xfrm>
                    <a:prstGeom prst="rect"/>
                  </pic:spPr>
                </pic:pic>
              </a:graphicData>
            </a:graphic>
          </wp:inline>
        </w:drawing>
      </w:r>
    </w:p>
    <w:p>
      <w:pPr>
        <w:keepNext w:val="0"/>
        <w:spacing w:after="120"/>
        <w:ind w:firstLine="0"/>
        <w:jc w:val="center"/>
      </w:pPr>
      <w:r>
        <w:rPr>
          <w:b w:val="0"/>
        </w:rPr>
        <w:t>Рисунок 3 – Ті самі тести після мінімальної реалізації</w:t>
      </w:r>
    </w:p>
    <w:p>
      <w:pPr>
        <w:keepNext/>
      </w:pPr>
      <w:r>
        <w:rPr>
          <w:b w:val="0"/>
        </w:rPr>
        <w:t>Після виділення calcBasePremium та іменованих меж у третьому циклі пройшли всі 213 тестів. Змінено структуру функцій, а ціни та межі, зафіксовані попередніми тестами, збережено.</w:t>
      </w:r>
    </w:p>
    <w:p>
      <w:pPr>
        <w:keepNext/>
        <w:spacing w:line="240" w:lineRule="auto"/>
        <w:ind w:firstLine="0"/>
        <w:jc w:val="center"/>
      </w:pPr>
      <w:r>
        <w:rPr>
          <w:b w:val="0"/>
        </w:rPr>
      </w:r>
      <w:r>
        <w:drawing>
          <wp:inline xmlns:a="http://schemas.openxmlformats.org/drawingml/2006/main" xmlns:pic="http://schemas.openxmlformats.org/drawingml/2006/picture">
            <wp:extent cx="6120000" cy="2449142"/>
            <wp:docPr id="4" name="Picture 4"/>
            <wp:cNvGraphicFramePr>
              <a:graphicFrameLocks noChangeAspect="1"/>
            </wp:cNvGraphicFramePr>
            <a:graphic>
              <a:graphicData uri="http://schemas.openxmlformats.org/drawingml/2006/picture">
                <pic:pic>
                  <pic:nvPicPr>
                    <pic:cNvPr id="0" name="insurance-03-refactor.png"/>
                    <pic:cNvPicPr/>
                  </pic:nvPicPr>
                  <pic:blipFill>
                    <a:blip r:embed="rId14"/>
                    <a:stretch>
                      <a:fillRect/>
                    </a:stretch>
                  </pic:blipFill>
                  <pic:spPr>
                    <a:xfrm>
                      <a:off x="0" y="0"/>
                      <a:ext cx="6120000" cy="2449142"/>
                    </a:xfrm>
                    <a:prstGeom prst="rect"/>
                  </pic:spPr>
                </pic:pic>
              </a:graphicData>
            </a:graphic>
          </wp:inline>
        </w:drawing>
      </w:r>
    </w:p>
    <w:p>
      <w:pPr>
        <w:keepNext w:val="0"/>
        <w:spacing w:after="120"/>
        <w:ind w:firstLine="0"/>
        <w:jc w:val="center"/>
      </w:pPr>
      <w:r>
        <w:rPr>
          <w:b w:val="0"/>
        </w:rPr>
        <w:t>Рисунок 4 – Успішний набір після структурного рефакторингу</w:t>
      </w:r>
    </w:p>
    <w:p>
      <w:pPr>
        <w:keepNext w:val="0"/>
      </w:pPr>
      <w:r>
        <w:rPr>
          <w:b w:val="0"/>
        </w:rPr>
        <w:t>Додатковий восьмий цикл виник із перевірки точності: стандартна арифметика Number занижувала дві десяткові половини копійки. Red дав 2 невдалі тести з 68, Green – усі 253 успішні. Точний десятковий запис відсотка перетворено на цілочислову частку; округлення виконано один раз після всіх тарифних правил.</w:t>
      </w:r>
    </w:p>
    <w:p>
      <w:pPr>
        <w:keepNext w:val="0"/>
      </w:pPr>
      <w:r>
        <w:rPr>
          <w:b w:val="0"/>
        </w:rPr>
        <w:t>Під час остаточного аудиту додано ще одну перевірку MAX_SAFE_INTEGER − 1, щоб мати всі три сусідні точки межі безпечного цілого. Вона одразу пройшла без змін продуктового коду. Це додаткова перевірка наявного контракту, а не новий Red або TDD-цикл; фінальний набір зріс із 253 до 254 тестів.</w:t>
      </w:r>
    </w:p>
    <w:p>
      <w:pPr>
        <w:keepNext w:val="0"/>
      </w:pPr>
      <w:r>
        <w:rPr>
          <w:b w:val="0"/>
        </w:rPr>
        <w:t>Технічна примітка до доказів: у parking-03 збережено додатковий незакомічений діагностичний запуск. Перевірка шаблону журналу спочатку не врахувала позначення +0 у Vitest, тому запис коміту було відхилено. Без зміни тесту чи реалізації запуск повторено з виправленим шаблоном. Це не окремий TDD-цикл і не прихований збій продуктового коду.</w:t>
      </w:r>
    </w:p>
    <w:p>
      <w:pPr>
        <w:pStyle w:val="Heading1"/>
      </w:pPr>
      <w:r>
        <w:t>4 Кінцеві лістинги тестів і продуктового коду</w:t>
      </w:r>
    </w:p>
    <w:p>
      <w:pPr>
        <w:keepNext w:val="0"/>
      </w:pPr>
      <w:r>
        <w:rPr>
          <w:b w:val="0"/>
        </w:rPr>
        <w:t>Лістинги наведено повністю у фінальному стані. Паркування розділяє перевірку тривалості, базову ціну, застосування прапорців і округлення. Страхування відокремлює валідацію від вибору базової ціни, надбавки та точного фінального перерахунку в копійки.</w:t>
      </w:r>
    </w:p>
    <w:p>
      <w:pPr>
        <w:pStyle w:val="Heading2"/>
      </w:pPr>
      <w:r>
        <w:t>Лістинг 1 src/parking.ts</w:t>
      </w:r>
    </w:p>
    <w:p>
      <w:pPr>
        <w:pStyle w:val="SourceListing"/>
      </w:pPr>
      <w:r>
        <w:t>const INVALID_DURATION = 'INVALID_DURATION';</w:t>
      </w:r>
    </w:p>
    <w:p>
      <w:pPr>
        <w:pStyle w:val="SourceListing"/>
      </w:pPr>
      <w:r>
        <w:t>const FREE_MINUTES = 15;</w:t>
      </w:r>
    </w:p>
    <w:p>
      <w:pPr>
        <w:pStyle w:val="SourceListing"/>
      </w:pPr>
      <w:r>
        <w:t>const FIRST_HOUR_FEE = 30;</w:t>
      </w:r>
    </w:p>
    <w:p>
      <w:pPr>
        <w:pStyle w:val="SourceListing"/>
      </w:pPr>
      <w:r>
        <w:t>const MINUTES_PER_HOUR = 60;</w:t>
      </w:r>
    </w:p>
    <w:p>
      <w:pPr>
        <w:pStyle w:val="SourceListing"/>
      </w:pPr>
      <w:r>
        <w:t>const EXTRA_HOUR_FEE = 20;</w:t>
      </w:r>
    </w:p>
    <w:p>
      <w:pPr>
        <w:pStyle w:val="SourceListing"/>
      </w:pPr>
      <w:r>
        <w:t>const DAILY_CAP = 200;</w:t>
      </w:r>
    </w:p>
    <w:p>
      <w:pPr>
        <w:pStyle w:val="SourceListing"/>
      </w:pPr>
      <w:r>
        <w:t>const NIGHT_RATE = 0.5;</w:t>
      </w:r>
    </w:p>
    <w:p>
      <w:pPr>
        <w:pStyle w:val="SourceListing"/>
      </w:pPr>
      <w:r>
        <w:t>const WEEKEND_RATE = 0.8;</w:t>
      </w:r>
    </w:p>
    <w:p>
      <w:pPr>
        <w:pStyle w:val="SourceListing"/>
      </w:pPr>
      <w:r>
        <w:t>const KOPECKS_PER_UAH = 100;</w:t>
      </w:r>
    </w:p>
    <w:p>
      <w:pPr>
        <w:pStyle w:val="SourceListing"/>
      </w:pPr>
      <w:r/>
    </w:p>
    <w:p>
      <w:pPr>
        <w:pStyle w:val="SourceListing"/>
      </w:pPr>
      <w:r>
        <w:t>export interface ParkingOptions {</w:t>
      </w:r>
    </w:p>
    <w:p>
      <w:pPr>
        <w:pStyle w:val="SourceListing"/>
      </w:pPr>
      <w:r>
        <w:t xml:space="preserve">  night?: boolean;</w:t>
      </w:r>
    </w:p>
    <w:p>
      <w:pPr>
        <w:pStyle w:val="SourceListing"/>
      </w:pPr>
      <w:r>
        <w:t xml:space="preserve">  weekend?: boolean;</w:t>
      </w:r>
    </w:p>
    <w:p>
      <w:pPr>
        <w:pStyle w:val="SourceListing"/>
      </w:pPr>
      <w:r>
        <w:t>}</w:t>
      </w:r>
    </w:p>
    <w:p>
      <w:pPr>
        <w:pStyle w:val="SourceListing"/>
      </w:pPr>
      <w:r/>
    </w:p>
    <w:p>
      <w:pPr>
        <w:pStyle w:val="SourceListing"/>
      </w:pPr>
      <w:r>
        <w:t>export function roundParkingAmount(amount: number): number {</w:t>
      </w:r>
    </w:p>
    <w:p>
      <w:pPr>
        <w:pStyle w:val="SourceListing"/>
      </w:pPr>
      <w:r>
        <w:t xml:space="preserve">  return Math.round(amount * KOPECKS_PER_UAH) / KOPECKS_PER_UAH;</w:t>
      </w:r>
    </w:p>
    <w:p>
      <w:pPr>
        <w:pStyle w:val="SourceListing"/>
      </w:pPr>
      <w:r>
        <w:t>}</w:t>
      </w:r>
    </w:p>
    <w:p>
      <w:pPr>
        <w:pStyle w:val="SourceListing"/>
      </w:pPr>
      <w:r/>
    </w:p>
    <w:p>
      <w:pPr>
        <w:pStyle w:val="SourceListing"/>
      </w:pPr>
      <w:r>
        <w:t>function assertValidDuration(minutes: number): void {</w:t>
      </w:r>
    </w:p>
    <w:p>
      <w:pPr>
        <w:pStyle w:val="SourceListing"/>
      </w:pPr>
      <w:r>
        <w:t xml:space="preserve">  if (!Number.isInteger(minutes) || minutes &lt; 0) {</w:t>
      </w:r>
    </w:p>
    <w:p>
      <w:pPr>
        <w:pStyle w:val="SourceListing"/>
      </w:pPr>
      <w:r>
        <w:t xml:space="preserve">    throw new Error(INVALID_DURATION);</w:t>
      </w:r>
    </w:p>
    <w:p>
      <w:pPr>
        <w:pStyle w:val="SourceListing"/>
      </w:pPr>
      <w:r>
        <w:t xml:space="preserve">  }</w:t>
      </w:r>
    </w:p>
    <w:p>
      <w:pPr>
        <w:pStyle w:val="SourceListing"/>
      </w:pPr>
      <w:r>
        <w:t>}</w:t>
      </w:r>
    </w:p>
    <w:p>
      <w:pPr>
        <w:pStyle w:val="SourceListing"/>
      </w:pPr>
      <w:r/>
    </w:p>
    <w:p>
      <w:pPr>
        <w:pStyle w:val="SourceListing"/>
      </w:pPr>
      <w:r>
        <w:t>function calcBaseFee(minutes: number): number {</w:t>
      </w:r>
    </w:p>
    <w:p>
      <w:pPr>
        <w:pStyle w:val="SourceListing"/>
      </w:pPr>
      <w:r>
        <w:t xml:space="preserve">  if (minutes &lt;= FREE_MINUTES) return 0;</w:t>
      </w:r>
    </w:p>
    <w:p>
      <w:pPr>
        <w:pStyle w:val="SourceListing"/>
      </w:pPr>
      <w:r>
        <w:t xml:space="preserve">  if (minutes &lt;= MINUTES_PER_HOUR) return FIRST_HOUR_FEE;</w:t>
      </w:r>
    </w:p>
    <w:p>
      <w:pPr>
        <w:pStyle w:val="SourceListing"/>
      </w:pPr>
      <w:r>
        <w:t xml:space="preserve">  const extraHours = Math.ceil((minutes - MINUTES_PER_HOUR) / MINUTES_PER_HOUR);</w:t>
      </w:r>
    </w:p>
    <w:p>
      <w:pPr>
        <w:pStyle w:val="SourceListing"/>
      </w:pPr>
      <w:r>
        <w:t xml:space="preserve">  return Math.min(FIRST_HOUR_FEE + extraHours * EXTRA_HOUR_FEE, DAILY_CAP);</w:t>
      </w:r>
    </w:p>
    <w:p>
      <w:pPr>
        <w:pStyle w:val="SourceListing"/>
      </w:pPr>
      <w:r>
        <w:t>}</w:t>
      </w:r>
    </w:p>
    <w:p>
      <w:pPr>
        <w:pStyle w:val="SourceListing"/>
      </w:pPr>
      <w:r/>
    </w:p>
    <w:p>
      <w:pPr>
        <w:pStyle w:val="SourceListing"/>
      </w:pPr>
      <w:r>
        <w:t>function applyRates(fee: number, options: ParkingOptions): number {</w:t>
      </w:r>
    </w:p>
    <w:p>
      <w:pPr>
        <w:pStyle w:val="SourceListing"/>
      </w:pPr>
      <w:r>
        <w:t xml:space="preserve">  if (options.night) fee *= NIGHT_RATE;</w:t>
      </w:r>
    </w:p>
    <w:p>
      <w:pPr>
        <w:pStyle w:val="SourceListing"/>
      </w:pPr>
      <w:r>
        <w:t xml:space="preserve">  if (options.weekend) fee *= WEEKEND_RATE;</w:t>
      </w:r>
    </w:p>
    <w:p>
      <w:pPr>
        <w:pStyle w:val="SourceListing"/>
      </w:pPr>
      <w:r>
        <w:t xml:space="preserve">  return fee;</w:t>
      </w:r>
    </w:p>
    <w:p>
      <w:pPr>
        <w:pStyle w:val="SourceListing"/>
      </w:pPr>
      <w:r>
        <w:t>}</w:t>
      </w:r>
    </w:p>
    <w:p>
      <w:pPr>
        <w:pStyle w:val="SourceListing"/>
      </w:pPr>
      <w:r/>
    </w:p>
    <w:p>
      <w:pPr>
        <w:pStyle w:val="SourceListing"/>
      </w:pPr>
      <w:r>
        <w:t>export function calcParkingFee(</w:t>
      </w:r>
    </w:p>
    <w:p>
      <w:pPr>
        <w:pStyle w:val="SourceListing"/>
      </w:pPr>
      <w:r>
        <w:t xml:space="preserve">  minutes: number,</w:t>
      </w:r>
    </w:p>
    <w:p>
      <w:pPr>
        <w:pStyle w:val="SourceListing"/>
      </w:pPr>
      <w:r>
        <w:t xml:space="preserve">  options: ParkingOptions = {},</w:t>
      </w:r>
    </w:p>
    <w:p>
      <w:pPr>
        <w:pStyle w:val="SourceListing"/>
      </w:pPr>
      <w:r>
        <w:t>): number {</w:t>
      </w:r>
    </w:p>
    <w:p>
      <w:pPr>
        <w:pStyle w:val="SourceListing"/>
      </w:pPr>
      <w:r>
        <w:t xml:space="preserve">  assertValidDuration(minutes);</w:t>
      </w:r>
    </w:p>
    <w:p>
      <w:pPr>
        <w:pStyle w:val="SourceListing"/>
      </w:pPr>
      <w:r>
        <w:t xml:space="preserve">  return roundParkingAmount(applyRates(calcBaseFee(minutes), options));</w:t>
      </w:r>
    </w:p>
    <w:p>
      <w:pPr>
        <w:pStyle w:val="SourceListing"/>
      </w:pPr>
      <w:r>
        <w:t>}</w:t>
      </w:r>
    </w:p>
    <w:p>
      <w:pPr>
        <w:pStyle w:val="Heading2"/>
      </w:pPr>
      <w:r>
        <w:t>Лістинг 2 tests/parking.test.ts</w:t>
      </w:r>
    </w:p>
    <w:p>
      <w:pPr>
        <w:pStyle w:val="SourceListing"/>
      </w:pPr>
      <w:r>
        <w:t>import { expect, it } from 'vitest';</w:t>
      </w:r>
    </w:p>
    <w:p>
      <w:pPr>
        <w:pStyle w:val="SourceListing"/>
      </w:pPr>
      <w:r>
        <w:t>import { calcParkingFee, roundParkingAmount } from '../src/parking';</w:t>
      </w:r>
    </w:p>
    <w:p>
      <w:pPr>
        <w:pStyle w:val="SourceListing"/>
      </w:pPr>
      <w:r/>
    </w:p>
    <w:p>
      <w:pPr>
        <w:pStyle w:val="SourceListing"/>
      </w:pPr>
      <w:r>
        <w:t>it.each([</w:t>
      </w:r>
    </w:p>
    <w:p>
      <w:pPr>
        <w:pStyle w:val="SourceListing"/>
      </w:pPr>
      <w:r>
        <w:t xml:space="preserve">  [12.344, 12.34],</w:t>
      </w:r>
    </w:p>
    <w:p>
      <w:pPr>
        <w:pStyle w:val="SourceListing"/>
      </w:pPr>
      <w:r>
        <w:t xml:space="preserve">  [12.345, 12.35],</w:t>
      </w:r>
    </w:p>
    <w:p>
      <w:pPr>
        <w:pStyle w:val="SourceListing"/>
      </w:pPr>
      <w:r>
        <w:t xml:space="preserve">  [12.346, 12.35],</w:t>
      </w:r>
    </w:p>
    <w:p>
      <w:pPr>
        <w:pStyle w:val="SourceListing"/>
      </w:pPr>
      <w:r>
        <w:t xml:space="preserve">  [28, 28],</w:t>
      </w:r>
    </w:p>
    <w:p>
      <w:pPr>
        <w:pStyle w:val="SourceListing"/>
      </w:pPr>
      <w:r>
        <w:t>])('rounds the final amount %s to %s', (amount, expected) =&gt; {</w:t>
      </w:r>
    </w:p>
    <w:p>
      <w:pPr>
        <w:pStyle w:val="SourceListing"/>
      </w:pPr>
      <w:r>
        <w:t xml:space="preserve">  expect(roundParkingAmount(amount)).toBe(expected);</w:t>
      </w:r>
    </w:p>
    <w:p>
      <w:pPr>
        <w:pStyle w:val="SourceListing"/>
      </w:pPr>
      <w:r>
        <w:t>});</w:t>
      </w:r>
    </w:p>
    <w:p>
      <w:pPr>
        <w:pStyle w:val="SourceListing"/>
      </w:pPr>
      <w:r/>
    </w:p>
    <w:p>
      <w:pPr>
        <w:pStyle w:val="SourceListing"/>
      </w:pPr>
      <w:r>
        <w:t>it.each([-1, -60, 10.5, NaN, Infinity, -Infinity])(</w:t>
      </w:r>
    </w:p>
    <w:p>
      <w:pPr>
        <w:pStyle w:val="SourceListing"/>
      </w:pPr>
      <w:r>
        <w:t xml:space="preserve">  'rejects invalid duration %s',</w:t>
      </w:r>
    </w:p>
    <w:p>
      <w:pPr>
        <w:pStyle w:val="SourceListing"/>
      </w:pPr>
      <w:r>
        <w:t xml:space="preserve">  (minutes) =&gt; {</w:t>
      </w:r>
    </w:p>
    <w:p>
      <w:pPr>
        <w:pStyle w:val="SourceListing"/>
      </w:pPr>
      <w:r>
        <w:t xml:space="preserve">    expect(() =&gt; calcParkingFee(minutes)).toThrow('INVALID_DURATION');</w:t>
      </w:r>
    </w:p>
    <w:p>
      <w:pPr>
        <w:pStyle w:val="SourceListing"/>
      </w:pPr>
      <w:r>
        <w:t xml:space="preserve">  },</w:t>
      </w:r>
    </w:p>
    <w:p>
      <w:pPr>
        <w:pStyle w:val="SourceListing"/>
      </w:pPr>
      <w:r>
        <w:t>);</w:t>
      </w:r>
    </w:p>
    <w:p>
      <w:pPr>
        <w:pStyle w:val="SourceListing"/>
      </w:pPr>
      <w:r/>
    </w:p>
    <w:p>
      <w:pPr>
        <w:pStyle w:val="SourceListing"/>
      </w:pPr>
      <w:r>
        <w:t>it.each([0, 1, 14, 15])('first 15 minutes are free: %i', (minutes) =&gt; {</w:t>
      </w:r>
    </w:p>
    <w:p>
      <w:pPr>
        <w:pStyle w:val="SourceListing"/>
      </w:pPr>
      <w:r>
        <w:t xml:space="preserve">  expect(calcParkingFee(minutes)).toBe(0);</w:t>
      </w:r>
    </w:p>
    <w:p>
      <w:pPr>
        <w:pStyle w:val="SourceListing"/>
      </w:pPr>
      <w:r>
        <w:t>});</w:t>
      </w:r>
    </w:p>
    <w:p>
      <w:pPr>
        <w:pStyle w:val="SourceListing"/>
      </w:pPr>
      <w:r/>
    </w:p>
    <w:p>
      <w:pPr>
        <w:pStyle w:val="SourceListing"/>
      </w:pPr>
      <w:r>
        <w:t>it.each([</w:t>
      </w:r>
    </w:p>
    <w:p>
      <w:pPr>
        <w:pStyle w:val="SourceListing"/>
      </w:pPr>
      <w:r>
        <w:t xml:space="preserve">  { minutes: 600, options: { weekend: true }, expected: 160 },</w:t>
      </w:r>
    </w:p>
    <w:p>
      <w:pPr>
        <w:pStyle w:val="SourceListing"/>
      </w:pPr>
      <w:r>
        <w:t xml:space="preserve">  { minutes: 600, options: { night: true, weekend: true }, expected: 80 },</w:t>
      </w:r>
    </w:p>
    <w:p>
      <w:pPr>
        <w:pStyle w:val="SourceListing"/>
      </w:pPr>
      <w:r>
        <w:t xml:space="preserve">  { minutes: 45, options: { night: true, weekend: true }, expected: 12 },</w:t>
      </w:r>
    </w:p>
    <w:p>
      <w:pPr>
        <w:pStyle w:val="SourceListing"/>
      </w:pPr>
      <w:r>
        <w:t xml:space="preserve">  { minutes: 121, options: { night: true, weekend: true }, expected: 28 },</w:t>
      </w:r>
    </w:p>
    <w:p>
      <w:pPr>
        <w:pStyle w:val="SourceListing"/>
      </w:pPr>
      <w:r>
        <w:t xml:space="preserve">  { minutes: 0, options: { weekend: true }, expected: 0 },</w:t>
      </w:r>
    </w:p>
    <w:p>
      <w:pPr>
        <w:pStyle w:val="SourceListing"/>
      </w:pPr>
      <w:r>
        <w:t xml:space="preserve">  { minutes: 16, options: { night: false, weekend: false }, expected: 30 },</w:t>
      </w:r>
    </w:p>
    <w:p>
      <w:pPr>
        <w:pStyle w:val="SourceListing"/>
      </w:pPr>
      <w:r>
        <w:t>])(</w:t>
      </w:r>
    </w:p>
    <w:p>
      <w:pPr>
        <w:pStyle w:val="SourceListing"/>
      </w:pPr>
      <w:r>
        <w:t xml:space="preserve">  'weekend $minutes $options costs $expected',</w:t>
      </w:r>
    </w:p>
    <w:p>
      <w:pPr>
        <w:pStyle w:val="SourceListing"/>
      </w:pPr>
      <w:r>
        <w:t xml:space="preserve">  ({ minutes, options, expected }) =&gt; {</w:t>
      </w:r>
    </w:p>
    <w:p>
      <w:pPr>
        <w:pStyle w:val="SourceListing"/>
      </w:pPr>
      <w:r>
        <w:t xml:space="preserve">    expect(calcParkingFee(minutes, options)).toBe(expected);</w:t>
      </w:r>
    </w:p>
    <w:p>
      <w:pPr>
        <w:pStyle w:val="SourceListing"/>
      </w:pPr>
      <w:r>
        <w:t xml:space="preserve">  },</w:t>
      </w:r>
    </w:p>
    <w:p>
      <w:pPr>
        <w:pStyle w:val="SourceListing"/>
      </w:pPr>
      <w:r>
        <w:t>);</w:t>
      </w:r>
    </w:p>
    <w:p>
      <w:pPr>
        <w:pStyle w:val="SourceListing"/>
      </w:pPr>
      <w:r/>
    </w:p>
    <w:p>
      <w:pPr>
        <w:pStyle w:val="SourceListing"/>
      </w:pPr>
      <w:r>
        <w:t>it.each([</w:t>
      </w:r>
    </w:p>
    <w:p>
      <w:pPr>
        <w:pStyle w:val="SourceListing"/>
      </w:pPr>
      <w:r>
        <w:t xml:space="preserve">  [0, 0],</w:t>
      </w:r>
    </w:p>
    <w:p>
      <w:pPr>
        <w:pStyle w:val="SourceListing"/>
      </w:pPr>
      <w:r>
        <w:t xml:space="preserve">  [15, 0],</w:t>
      </w:r>
    </w:p>
    <w:p>
      <w:pPr>
        <w:pStyle w:val="SourceListing"/>
      </w:pPr>
      <w:r>
        <w:t xml:space="preserve">  [16, 15],</w:t>
      </w:r>
    </w:p>
    <w:p>
      <w:pPr>
        <w:pStyle w:val="SourceListing"/>
      </w:pPr>
      <w:r>
        <w:t xml:space="preserve">  [60, 15],</w:t>
      </w:r>
    </w:p>
    <w:p>
      <w:pPr>
        <w:pStyle w:val="SourceListing"/>
      </w:pPr>
      <w:r>
        <w:t xml:space="preserve">  [121, 35],</w:t>
      </w:r>
    </w:p>
    <w:p>
      <w:pPr>
        <w:pStyle w:val="SourceListing"/>
      </w:pPr>
      <w:r>
        <w:t xml:space="preserve">  [600, 100],</w:t>
      </w:r>
    </w:p>
    <w:p>
      <w:pPr>
        <w:pStyle w:val="SourceListing"/>
      </w:pPr>
      <w:r>
        <w:t>])('night rate %i costs %i', (minutes, expected) =&gt; {</w:t>
      </w:r>
    </w:p>
    <w:p>
      <w:pPr>
        <w:pStyle w:val="SourceListing"/>
      </w:pPr>
      <w:r>
        <w:t xml:space="preserve">  expect(calcParkingFee(minutes, { night: true })).toBe(expected);</w:t>
      </w:r>
    </w:p>
    <w:p>
      <w:pPr>
        <w:pStyle w:val="SourceListing"/>
      </w:pPr>
      <w:r>
        <w:t>});</w:t>
      </w:r>
    </w:p>
    <w:p>
      <w:pPr>
        <w:pStyle w:val="SourceListing"/>
      </w:pPr>
      <w:r/>
    </w:p>
    <w:p>
      <w:pPr>
        <w:pStyle w:val="SourceListing"/>
      </w:pPr>
      <w:r>
        <w:t>it.each([</w:t>
      </w:r>
    </w:p>
    <w:p>
      <w:pPr>
        <w:pStyle w:val="SourceListing"/>
      </w:pPr>
      <w:r>
        <w:t xml:space="preserve">  [539, 190],</w:t>
      </w:r>
    </w:p>
    <w:p>
      <w:pPr>
        <w:pStyle w:val="SourceListing"/>
      </w:pPr>
      <w:r>
        <w:t xml:space="preserve">  [540, 190],</w:t>
      </w:r>
    </w:p>
    <w:p>
      <w:pPr>
        <w:pStyle w:val="SourceListing"/>
      </w:pPr>
      <w:r>
        <w:t xml:space="preserve">  [541, 200],</w:t>
      </w:r>
    </w:p>
    <w:p>
      <w:pPr>
        <w:pStyle w:val="SourceListing"/>
      </w:pPr>
      <w:r>
        <w:t xml:space="preserve">  [600, 200],</w:t>
      </w:r>
    </w:p>
    <w:p>
      <w:pPr>
        <w:pStyle w:val="SourceListing"/>
      </w:pPr>
      <w:r>
        <w:t xml:space="preserve">  [1440, 200],</w:t>
      </w:r>
    </w:p>
    <w:p>
      <w:pPr>
        <w:pStyle w:val="SourceListing"/>
      </w:pPr>
      <w:r>
        <w:t xml:space="preserve">  [1441, 200],</w:t>
      </w:r>
    </w:p>
    <w:p>
      <w:pPr>
        <w:pStyle w:val="SourceListing"/>
      </w:pPr>
      <w:r>
        <w:t>])('daily cap %i costs %i', (minutes, expected) =&gt; {</w:t>
      </w:r>
    </w:p>
    <w:p>
      <w:pPr>
        <w:pStyle w:val="SourceListing"/>
      </w:pPr>
      <w:r>
        <w:t xml:space="preserve">  expect(calcParkingFee(minutes)).toBe(expected);</w:t>
      </w:r>
    </w:p>
    <w:p>
      <w:pPr>
        <w:pStyle w:val="SourceListing"/>
      </w:pPr>
      <w:r>
        <w:t>});</w:t>
      </w:r>
    </w:p>
    <w:p>
      <w:pPr>
        <w:pStyle w:val="SourceListing"/>
      </w:pPr>
      <w:r/>
    </w:p>
    <w:p>
      <w:pPr>
        <w:pStyle w:val="SourceListing"/>
      </w:pPr>
      <w:r>
        <w:t>it.each([</w:t>
      </w:r>
    </w:p>
    <w:p>
      <w:pPr>
        <w:pStyle w:val="SourceListing"/>
      </w:pPr>
      <w:r>
        <w:t xml:space="preserve">  [61, 50],</w:t>
      </w:r>
    </w:p>
    <w:p>
      <w:pPr>
        <w:pStyle w:val="SourceListing"/>
      </w:pPr>
      <w:r>
        <w:t xml:space="preserve">  [119, 50],</w:t>
      </w:r>
    </w:p>
    <w:p>
      <w:pPr>
        <w:pStyle w:val="SourceListing"/>
      </w:pPr>
      <w:r>
        <w:t xml:space="preserve">  [120, 50],</w:t>
      </w:r>
    </w:p>
    <w:p>
      <w:pPr>
        <w:pStyle w:val="SourceListing"/>
      </w:pPr>
      <w:r>
        <w:t xml:space="preserve">  [121, 70],</w:t>
      </w:r>
    </w:p>
    <w:p>
      <w:pPr>
        <w:pStyle w:val="SourceListing"/>
      </w:pPr>
      <w:r>
        <w:t xml:space="preserve">  [180, 70],</w:t>
      </w:r>
    </w:p>
    <w:p>
      <w:pPr>
        <w:pStyle w:val="SourceListing"/>
      </w:pPr>
      <w:r>
        <w:t>])('started extra hours %i cost %i', (minutes, expected) =&gt; {</w:t>
      </w:r>
    </w:p>
    <w:p>
      <w:pPr>
        <w:pStyle w:val="SourceListing"/>
      </w:pPr>
      <w:r>
        <w:t xml:space="preserve">  expect(calcParkingFee(minutes)).toBe(expected);</w:t>
      </w:r>
    </w:p>
    <w:p>
      <w:pPr>
        <w:pStyle w:val="SourceListing"/>
      </w:pPr>
      <w:r>
        <w:t>});</w:t>
      </w:r>
    </w:p>
    <w:p>
      <w:pPr>
        <w:pStyle w:val="SourceListing"/>
      </w:pPr>
      <w:r/>
    </w:p>
    <w:p>
      <w:pPr>
        <w:pStyle w:val="SourceListing"/>
      </w:pPr>
      <w:r>
        <w:t>it.each([</w:t>
      </w:r>
    </w:p>
    <w:p>
      <w:pPr>
        <w:pStyle w:val="SourceListing"/>
      </w:pPr>
      <w:r>
        <w:t xml:space="preserve">  [16, 30],</w:t>
      </w:r>
    </w:p>
    <w:p>
      <w:pPr>
        <w:pStyle w:val="SourceListing"/>
      </w:pPr>
      <w:r>
        <w:t xml:space="preserve">  [59, 30],</w:t>
      </w:r>
    </w:p>
    <w:p>
      <w:pPr>
        <w:pStyle w:val="SourceListing"/>
      </w:pPr>
      <w:r>
        <w:t xml:space="preserve">  [60, 30],</w:t>
      </w:r>
    </w:p>
    <w:p>
      <w:pPr>
        <w:pStyle w:val="SourceListing"/>
      </w:pPr>
      <w:r>
        <w:t>])('first hour %i costs %i', (minutes, expected) =&gt; {</w:t>
      </w:r>
    </w:p>
    <w:p>
      <w:pPr>
        <w:pStyle w:val="SourceListing"/>
      </w:pPr>
      <w:r>
        <w:t xml:space="preserve">  expect(calcParkingFee(minutes)).toBe(expected);</w:t>
      </w:r>
    </w:p>
    <w:p>
      <w:pPr>
        <w:pStyle w:val="SourceListing"/>
      </w:pPr>
      <w:r>
        <w:t>});</w:t>
      </w:r>
    </w:p>
    <w:p>
      <w:pPr>
        <w:pStyle w:val="Heading2"/>
      </w:pPr>
      <w:r>
        <w:t>Лістинг 3 src/insurance.ts</w:t>
      </w:r>
    </w:p>
    <w:p>
      <w:pPr>
        <w:pStyle w:val="SourceListing"/>
      </w:pPr>
      <w:r>
        <w:t>export const YOUNG_VEHICLE_BASE_UAH = 3000;</w:t>
      </w:r>
    </w:p>
    <w:p>
      <w:pPr>
        <w:pStyle w:val="SourceListing"/>
      </w:pPr>
      <w:r>
        <w:t>export const YOUNG_VEHICLE_MAX_AGE = 3;</w:t>
      </w:r>
    </w:p>
    <w:p>
      <w:pPr>
        <w:pStyle w:val="SourceListing"/>
      </w:pPr>
      <w:r>
        <w:t>export const MIDDLE_VEHICLE_MAX_AGE = 10;</w:t>
      </w:r>
    </w:p>
    <w:p>
      <w:pPr>
        <w:pStyle w:val="SourceListing"/>
      </w:pPr>
      <w:r>
        <w:t>export const MIDDLE_VEHICLE_BASE_UAH = 4000;</w:t>
      </w:r>
    </w:p>
    <w:p>
      <w:pPr>
        <w:pStyle w:val="SourceListing"/>
      </w:pPr>
      <w:r>
        <w:t>export const OLD_VEHICLE_BASE_UAH = 5000;</w:t>
      </w:r>
    </w:p>
    <w:p>
      <w:pPr>
        <w:pStyle w:val="SourceListing"/>
      </w:pPr>
      <w:r>
        <w:t>export const EXPERIENCED_DRIVER_FROM_YEARS = 3;</w:t>
      </w:r>
    </w:p>
    <w:p>
      <w:pPr>
        <w:pStyle w:val="SourceListing"/>
      </w:pPr>
      <w:r>
        <w:t>export const NOVICE_SURCHARGE_RATE = 0.25;</w:t>
      </w:r>
    </w:p>
    <w:p>
      <w:pPr>
        <w:pStyle w:val="SourceListing"/>
      </w:pPr>
      <w:r>
        <w:t>export const PERCENT_SCALE = 100;</w:t>
      </w:r>
    </w:p>
    <w:p>
      <w:pPr>
        <w:pStyle w:val="SourceListing"/>
      </w:pPr>
      <w:r>
        <w:t>export const MAX_ACCIDENT_FREE_DISCOUNT_PERCENT = 30;</w:t>
      </w:r>
    </w:p>
    <w:p>
      <w:pPr>
        <w:pStyle w:val="SourceListing"/>
      </w:pPr>
      <w:r>
        <w:t>export const KOPECKS_PER_UAH = 100;</w:t>
      </w:r>
    </w:p>
    <w:p>
      <w:pPr>
        <w:pStyle w:val="SourceListing"/>
      </w:pPr>
      <w:r/>
    </w:p>
    <w:p>
      <w:pPr>
        <w:pStyle w:val="SourceListing"/>
      </w:pPr>
      <w:r>
        <w:t>export interface InsuranceInput {</w:t>
      </w:r>
    </w:p>
    <w:p>
      <w:pPr>
        <w:pStyle w:val="SourceListing"/>
      </w:pPr>
      <w:r>
        <w:t xml:space="preserve">  vehicleAge: number;</w:t>
      </w:r>
    </w:p>
    <w:p>
      <w:pPr>
        <w:pStyle w:val="SourceListing"/>
      </w:pPr>
      <w:r>
        <w:t xml:space="preserve">  driverExperience: number;</w:t>
      </w:r>
    </w:p>
    <w:p>
      <w:pPr>
        <w:pStyle w:val="SourceListing"/>
      </w:pPr>
      <w:r>
        <w:t xml:space="preserve">  accidentFreeDiscountPercent?: number;</w:t>
      </w:r>
    </w:p>
    <w:p>
      <w:pPr>
        <w:pStyle w:val="SourceListing"/>
      </w:pPr>
      <w:r>
        <w:t>}</w:t>
      </w:r>
    </w:p>
    <w:p>
      <w:pPr>
        <w:pStyle w:val="SourceListing"/>
      </w:pPr>
      <w:r/>
    </w:p>
    <w:p>
      <w:pPr>
        <w:pStyle w:val="SourceListing"/>
      </w:pPr>
      <w:r>
        <w:t>function assertValidInput({</w:t>
      </w:r>
    </w:p>
    <w:p>
      <w:pPr>
        <w:pStyle w:val="SourceListing"/>
      </w:pPr>
      <w:r>
        <w:t xml:space="preserve">  vehicleAge,</w:t>
      </w:r>
    </w:p>
    <w:p>
      <w:pPr>
        <w:pStyle w:val="SourceListing"/>
      </w:pPr>
      <w:r>
        <w:t xml:space="preserve">  driverExperience,</w:t>
      </w:r>
    </w:p>
    <w:p>
      <w:pPr>
        <w:pStyle w:val="SourceListing"/>
      </w:pPr>
      <w:r>
        <w:t xml:space="preserve">  accidentFreeDiscountPercent = 0,</w:t>
      </w:r>
    </w:p>
    <w:p>
      <w:pPr>
        <w:pStyle w:val="SourceListing"/>
      </w:pPr>
      <w:r>
        <w:t>}: InsuranceInput): void {</w:t>
      </w:r>
    </w:p>
    <w:p>
      <w:pPr>
        <w:pStyle w:val="SourceListing"/>
      </w:pPr>
      <w:r>
        <w:t xml:space="preserve">  if (!Number.isSafeInteger(vehicleAge) || vehicleAge &lt; 0) {</w:t>
      </w:r>
    </w:p>
    <w:p>
      <w:pPr>
        <w:pStyle w:val="SourceListing"/>
      </w:pPr>
      <w:r>
        <w:t xml:space="preserve">    throw new RangeError('INVALID_VEHICLE_AGE');</w:t>
      </w:r>
    </w:p>
    <w:p>
      <w:pPr>
        <w:pStyle w:val="SourceListing"/>
      </w:pPr>
      <w:r>
        <w:t xml:space="preserve">  }</w:t>
      </w:r>
    </w:p>
    <w:p>
      <w:pPr>
        <w:pStyle w:val="SourceListing"/>
      </w:pPr>
      <w:r>
        <w:t xml:space="preserve">  if (!Number.isFinite(driverExperience) || driverExperience &lt; 0) {</w:t>
      </w:r>
    </w:p>
    <w:p>
      <w:pPr>
        <w:pStyle w:val="SourceListing"/>
      </w:pPr>
      <w:r>
        <w:t xml:space="preserve">    throw new RangeError('INVALID_DRIVER_EXPERIENCE');</w:t>
      </w:r>
    </w:p>
    <w:p>
      <w:pPr>
        <w:pStyle w:val="SourceListing"/>
      </w:pPr>
      <w:r>
        <w:t xml:space="preserve">  }</w:t>
      </w:r>
    </w:p>
    <w:p>
      <w:pPr>
        <w:pStyle w:val="SourceListing"/>
      </w:pPr>
      <w:r>
        <w:t xml:space="preserve">  if (</w:t>
      </w:r>
    </w:p>
    <w:p>
      <w:pPr>
        <w:pStyle w:val="SourceListing"/>
      </w:pPr>
      <w:r>
        <w:t xml:space="preserve">    !Number.isFinite(accidentFreeDiscountPercent) ||</w:t>
      </w:r>
    </w:p>
    <w:p>
      <w:pPr>
        <w:pStyle w:val="SourceListing"/>
      </w:pPr>
      <w:r>
        <w:t xml:space="preserve">    accidentFreeDiscountPercent &lt; 0</w:t>
      </w:r>
    </w:p>
    <w:p>
      <w:pPr>
        <w:pStyle w:val="SourceListing"/>
      </w:pPr>
      <w:r>
        <w:t xml:space="preserve">  ) {</w:t>
      </w:r>
    </w:p>
    <w:p>
      <w:pPr>
        <w:pStyle w:val="SourceListing"/>
      </w:pPr>
      <w:r>
        <w:t xml:space="preserve">    throw new RangeError('INVALID_ACCIDENT_FREE_DISCOUNT');</w:t>
      </w:r>
    </w:p>
    <w:p>
      <w:pPr>
        <w:pStyle w:val="SourceListing"/>
      </w:pPr>
      <w:r>
        <w:t xml:space="preserve">  }</w:t>
      </w:r>
    </w:p>
    <w:p>
      <w:pPr>
        <w:pStyle w:val="SourceListing"/>
      </w:pPr>
      <w:r>
        <w:t>}</w:t>
      </w:r>
    </w:p>
    <w:p>
      <w:pPr>
        <w:pStyle w:val="SourceListing"/>
      </w:pPr>
      <w:r/>
    </w:p>
    <w:p>
      <w:pPr>
        <w:pStyle w:val="SourceListing"/>
      </w:pPr>
      <w:r>
        <w:t>function calcBasePremium(vehicleAge: number): number {</w:t>
      </w:r>
    </w:p>
    <w:p>
      <w:pPr>
        <w:pStyle w:val="SourceListing"/>
      </w:pPr>
      <w:r>
        <w:t xml:space="preserve">  if (vehicleAge &lt;= YOUNG_VEHICLE_MAX_AGE) return YOUNG_VEHICLE_BASE_UAH;</w:t>
      </w:r>
    </w:p>
    <w:p>
      <w:pPr>
        <w:pStyle w:val="SourceListing"/>
      </w:pPr>
      <w:r>
        <w:t xml:space="preserve">  if (vehicleAge &lt;= MIDDLE_VEHICLE_MAX_AGE) return MIDDLE_VEHICLE_BASE_UAH;</w:t>
      </w:r>
    </w:p>
    <w:p>
      <w:pPr>
        <w:pStyle w:val="SourceListing"/>
      </w:pPr>
      <w:r>
        <w:t xml:space="preserve">  return OLD_VEHICLE_BASE_UAH;</w:t>
      </w:r>
    </w:p>
    <w:p>
      <w:pPr>
        <w:pStyle w:val="SourceListing"/>
      </w:pPr>
      <w:r>
        <w:t>}</w:t>
      </w:r>
    </w:p>
    <w:p>
      <w:pPr>
        <w:pStyle w:val="SourceListing"/>
      </w:pPr>
      <w:r/>
    </w:p>
    <w:p>
      <w:pPr>
        <w:pStyle w:val="SourceListing"/>
      </w:pPr>
      <w:r>
        <w:t>function applyExperienceSurcharge(</w:t>
      </w:r>
    </w:p>
    <w:p>
      <w:pPr>
        <w:pStyle w:val="SourceListing"/>
      </w:pPr>
      <w:r>
        <w:t xml:space="preserve">  base: number,</w:t>
      </w:r>
    </w:p>
    <w:p>
      <w:pPr>
        <w:pStyle w:val="SourceListing"/>
      </w:pPr>
      <w:r>
        <w:t xml:space="preserve">  driverExperience: number,</w:t>
      </w:r>
    </w:p>
    <w:p>
      <w:pPr>
        <w:pStyle w:val="SourceListing"/>
      </w:pPr>
      <w:r>
        <w:t>): number {</w:t>
      </w:r>
    </w:p>
    <w:p>
      <w:pPr>
        <w:pStyle w:val="SourceListing"/>
      </w:pPr>
      <w:r>
        <w:t xml:space="preserve">  return driverExperience &lt; EXPERIENCED_DRIVER_FROM_YEARS</w:t>
      </w:r>
    </w:p>
    <w:p>
      <w:pPr>
        <w:pStyle w:val="SourceListing"/>
      </w:pPr>
      <w:r>
        <w:t xml:space="preserve">    ? base * (1 + NOVICE_SURCHARGE_RATE)</w:t>
      </w:r>
    </w:p>
    <w:p>
      <w:pPr>
        <w:pStyle w:val="SourceListing"/>
      </w:pPr>
      <w:r>
        <w:t xml:space="preserve">    : base;</w:t>
      </w:r>
    </w:p>
    <w:p>
      <w:pPr>
        <w:pStyle w:val="SourceListing"/>
      </w:pPr>
      <w:r>
        <w:t>}</w:t>
      </w:r>
    </w:p>
    <w:p>
      <w:pPr>
        <w:pStyle w:val="SourceListing"/>
      </w:pPr>
      <w:r/>
    </w:p>
    <w:p>
      <w:pPr>
        <w:pStyle w:val="SourceListing"/>
      </w:pPr>
      <w:r>
        <w:t>function applyAccidentFreeDiscount(</w:t>
      </w:r>
    </w:p>
    <w:p>
      <w:pPr>
        <w:pStyle w:val="SourceListing"/>
      </w:pPr>
      <w:r>
        <w:t xml:space="preserve">  amount: number,</w:t>
      </w:r>
    </w:p>
    <w:p>
      <w:pPr>
        <w:pStyle w:val="SourceListing"/>
      </w:pPr>
      <w:r>
        <w:t xml:space="preserve">  discountPercent: number,</w:t>
      </w:r>
    </w:p>
    <w:p>
      <w:pPr>
        <w:pStyle w:val="SourceListing"/>
      </w:pPr>
      <w:r>
        <w:t>): number {</w:t>
      </w:r>
    </w:p>
    <w:p>
      <w:pPr>
        <w:pStyle w:val="SourceListing"/>
      </w:pPr>
      <w:r>
        <w:t xml:space="preserve">  const effectiveDiscount = Math.min(</w:t>
      </w:r>
    </w:p>
    <w:p>
      <w:pPr>
        <w:pStyle w:val="SourceListing"/>
      </w:pPr>
      <w:r>
        <w:t xml:space="preserve">    discountPercent,</w:t>
      </w:r>
    </w:p>
    <w:p>
      <w:pPr>
        <w:pStyle w:val="SourceListing"/>
      </w:pPr>
      <w:r>
        <w:t xml:space="preserve">    MAX_ACCIDENT_FREE_DISCOUNT_PERCENT,</w:t>
      </w:r>
    </w:p>
    <w:p>
      <w:pPr>
        <w:pStyle w:val="SourceListing"/>
      </w:pPr>
      <w:r>
        <w:t xml:space="preserve">  );</w:t>
      </w:r>
    </w:p>
    <w:p>
      <w:pPr>
        <w:pStyle w:val="SourceListing"/>
      </w:pPr>
      <w:r>
        <w:t xml:space="preserve">  const [coefficient, exponent = '0'] = effectiveDiscount.toString().split('e');</w:t>
      </w:r>
    </w:p>
    <w:p>
      <w:pPr>
        <w:pStyle w:val="SourceListing"/>
      </w:pPr>
      <w:r>
        <w:t xml:space="preserve">  const [whole, fraction = ''] = coefficient.split('.');</w:t>
      </w:r>
    </w:p>
    <w:p>
      <w:pPr>
        <w:pStyle w:val="SourceListing"/>
      </w:pPr>
      <w:r>
        <w:t xml:space="preserve">  const scale = 10n ** BigInt(fraction.length - Number(exponent));</w:t>
      </w:r>
    </w:p>
    <w:p>
      <w:pPr>
        <w:pStyle w:val="SourceListing"/>
      </w:pPr>
      <w:r>
        <w:t xml:space="preserve">  const discount = BigInt(whole + fraction);</w:t>
      </w:r>
    </w:p>
    <w:p>
      <w:pPr>
        <w:pStyle w:val="SourceListing"/>
      </w:pPr>
      <w:r>
        <w:t xml:space="preserve">  const percentScale = BigInt(PERCENT_SCALE);</w:t>
      </w:r>
    </w:p>
    <w:p>
      <w:pPr>
        <w:pStyle w:val="SourceListing"/>
      </w:pPr>
      <w:r>
        <w:t xml:space="preserve">  const numerator =</w:t>
      </w:r>
    </w:p>
    <w:p>
      <w:pPr>
        <w:pStyle w:val="SourceListing"/>
      </w:pPr>
      <w:r>
        <w:t xml:space="preserve">    BigInt(amount) *</w:t>
      </w:r>
    </w:p>
    <w:p>
      <w:pPr>
        <w:pStyle w:val="SourceListing"/>
      </w:pPr>
      <w:r>
        <w:t xml:space="preserve">    BigInt(KOPECKS_PER_UAH) *</w:t>
      </w:r>
    </w:p>
    <w:p>
      <w:pPr>
        <w:pStyle w:val="SourceListing"/>
      </w:pPr>
      <w:r>
        <w:t xml:space="preserve">    (percentScale * scale - discount);</w:t>
      </w:r>
    </w:p>
    <w:p>
      <w:pPr>
        <w:pStyle w:val="SourceListing"/>
      </w:pPr>
      <w:r>
        <w:t xml:space="preserve">  const denominator = percentScale * scale;</w:t>
      </w:r>
    </w:p>
    <w:p>
      <w:pPr>
        <w:pStyle w:val="SourceListing"/>
      </w:pPr>
      <w:r>
        <w:t xml:space="preserve">  return roundPremium(numerator, denominator);</w:t>
      </w:r>
    </w:p>
    <w:p>
      <w:pPr>
        <w:pStyle w:val="SourceListing"/>
      </w:pPr>
      <w:r>
        <w:t>}</w:t>
      </w:r>
    </w:p>
    <w:p>
      <w:pPr>
        <w:pStyle w:val="SourceListing"/>
      </w:pPr>
      <w:r/>
    </w:p>
    <w:p>
      <w:pPr>
        <w:pStyle w:val="SourceListing"/>
      </w:pPr>
      <w:r>
        <w:t>function roundPremium(numerator: bigint, denominator: bigint): number {</w:t>
      </w:r>
    </w:p>
    <w:p>
      <w:pPr>
        <w:pStyle w:val="SourceListing"/>
      </w:pPr>
      <w:r>
        <w:t xml:space="preserve">  // Positive half-up; preserve the public discount's decimal representation.</w:t>
      </w:r>
    </w:p>
    <w:p>
      <w:pPr>
        <w:pStyle w:val="SourceListing"/>
      </w:pPr>
      <w:r>
        <w:t xml:space="preserve">  const cents = (2n * numerator + denominator) / (2n * denominator);</w:t>
      </w:r>
    </w:p>
    <w:p>
      <w:pPr>
        <w:pStyle w:val="SourceListing"/>
      </w:pPr>
      <w:r>
        <w:t xml:space="preserve">  return Number(cents) / KOPECKS_PER_UAH;</w:t>
      </w:r>
    </w:p>
    <w:p>
      <w:pPr>
        <w:pStyle w:val="SourceListing"/>
      </w:pPr>
      <w:r>
        <w:t>}</w:t>
      </w:r>
    </w:p>
    <w:p>
      <w:pPr>
        <w:pStyle w:val="SourceListing"/>
      </w:pPr>
      <w:r/>
    </w:p>
    <w:p>
      <w:pPr>
        <w:pStyle w:val="SourceListing"/>
      </w:pPr>
      <w:r>
        <w:t>/** Educational pricing assumptions are documented in report/lab3/PLAN.md. */</w:t>
      </w:r>
    </w:p>
    <w:p>
      <w:pPr>
        <w:pStyle w:val="SourceListing"/>
      </w:pPr>
      <w:r>
        <w:t>export function calcInsuranceCost(input: InsuranceInput): number {</w:t>
      </w:r>
    </w:p>
    <w:p>
      <w:pPr>
        <w:pStyle w:val="SourceListing"/>
      </w:pPr>
      <w:r>
        <w:t xml:space="preserve">  assertValidInput(input);</w:t>
      </w:r>
    </w:p>
    <w:p>
      <w:pPr>
        <w:pStyle w:val="SourceListing"/>
      </w:pPr>
      <w:r>
        <w:t xml:space="preserve">  const surcharged = applyExperienceSurcharge(</w:t>
      </w:r>
    </w:p>
    <w:p>
      <w:pPr>
        <w:pStyle w:val="SourceListing"/>
      </w:pPr>
      <w:r>
        <w:t xml:space="preserve">    calcBasePremium(input.vehicleAge),</w:t>
      </w:r>
    </w:p>
    <w:p>
      <w:pPr>
        <w:pStyle w:val="SourceListing"/>
      </w:pPr>
      <w:r>
        <w:t xml:space="preserve">    input.driverExperience,</w:t>
      </w:r>
    </w:p>
    <w:p>
      <w:pPr>
        <w:pStyle w:val="SourceListing"/>
      </w:pPr>
      <w:r>
        <w:t xml:space="preserve">  );</w:t>
      </w:r>
    </w:p>
    <w:p>
      <w:pPr>
        <w:pStyle w:val="SourceListing"/>
      </w:pPr>
      <w:r>
        <w:t xml:space="preserve">  return applyAccidentFreeDiscount(</w:t>
      </w:r>
    </w:p>
    <w:p>
      <w:pPr>
        <w:pStyle w:val="SourceListing"/>
      </w:pPr>
      <w:r>
        <w:t xml:space="preserve">    surcharged,</w:t>
      </w:r>
    </w:p>
    <w:p>
      <w:pPr>
        <w:pStyle w:val="SourceListing"/>
      </w:pPr>
      <w:r>
        <w:t xml:space="preserve">    input.accidentFreeDiscountPercent ?? 0,</w:t>
      </w:r>
    </w:p>
    <w:p>
      <w:pPr>
        <w:pStyle w:val="SourceListing"/>
      </w:pPr>
      <w:r>
        <w:t xml:space="preserve">  );</w:t>
      </w:r>
    </w:p>
    <w:p>
      <w:pPr>
        <w:pStyle w:val="SourceListing"/>
      </w:pPr>
      <w:r>
        <w:t>}</w:t>
      </w:r>
    </w:p>
    <w:p>
      <w:pPr>
        <w:pStyle w:val="Heading2"/>
      </w:pPr>
      <w:r>
        <w:t>Лістинг 4 tests/insurance.test.ts</w:t>
      </w:r>
    </w:p>
    <w:p>
      <w:pPr>
        <w:pStyle w:val="SourceListing"/>
      </w:pPr>
      <w:r>
        <w:t>import { expect, it } from 'vitest';</w:t>
      </w:r>
    </w:p>
    <w:p>
      <w:pPr>
        <w:pStyle w:val="SourceListing"/>
      </w:pPr>
      <w:r>
        <w:t>import { calcInsuranceCost } from '../src/insurance';</w:t>
      </w:r>
    </w:p>
    <w:p>
      <w:pPr>
        <w:pStyle w:val="SourceListing"/>
      </w:pPr>
      <w:r/>
    </w:p>
    <w:p>
      <w:pPr>
        <w:pStyle w:val="SourceListing"/>
      </w:pPr>
      <w:r>
        <w:t>it.each([</w:t>
      </w:r>
    </w:p>
    <w:p>
      <w:pPr>
        <w:pStyle w:val="SourceListing"/>
      </w:pPr>
      <w:r>
        <w:t xml:space="preserve">  [0.0074999, 2999.78],</w:t>
      </w:r>
    </w:p>
    <w:p>
      <w:pPr>
        <w:pStyle w:val="SourceListing"/>
      </w:pPr>
      <w:r>
        <w:t xml:space="preserve">  [0.0075, 2999.78],</w:t>
      </w:r>
    </w:p>
    <w:p>
      <w:pPr>
        <w:pStyle w:val="SourceListing"/>
      </w:pPr>
      <w:r>
        <w:t xml:space="preserve">  [0.0075001, 2999.77],</w:t>
      </w:r>
    </w:p>
    <w:p>
      <w:pPr>
        <w:pStyle w:val="SourceListing"/>
      </w:pPr>
      <w:r>
        <w:t xml:space="preserve">  [0.0345, 2998.97],</w:t>
      </w:r>
    </w:p>
    <w:p>
      <w:pPr>
        <w:pStyle w:val="SourceListing"/>
      </w:pPr>
      <w:r>
        <w:t xml:space="preserve">  [Number.MIN_VALUE, 3000],</w:t>
      </w:r>
    </w:p>
    <w:p>
      <w:pPr>
        <w:pStyle w:val="SourceListing"/>
      </w:pPr>
      <w:r>
        <w:t>])(</w:t>
      </w:r>
    </w:p>
    <w:p>
      <w:pPr>
        <w:pStyle w:val="SourceListing"/>
      </w:pPr>
      <w:r>
        <w:t xml:space="preserve">  'uses decimal half-up precision at discount %s',</w:t>
      </w:r>
    </w:p>
    <w:p>
      <w:pPr>
        <w:pStyle w:val="SourceListing"/>
      </w:pPr>
      <w:r>
        <w:t xml:space="preserve">  (accidentFreeDiscountPercent, expected) =&gt; {</w:t>
      </w:r>
    </w:p>
    <w:p>
      <w:pPr>
        <w:pStyle w:val="SourceListing"/>
      </w:pPr>
      <w:r>
        <w:t xml:space="preserve">    // 0.0075% of 3000 is 0.225; 2999.775 rounds to 2999.78.</w:t>
      </w:r>
    </w:p>
    <w:p>
      <w:pPr>
        <w:pStyle w:val="SourceListing"/>
      </w:pPr>
      <w:r>
        <w:t xml:space="preserve">    expect(</w:t>
      </w:r>
    </w:p>
    <w:p>
      <w:pPr>
        <w:pStyle w:val="SourceListing"/>
      </w:pPr>
      <w:r>
        <w:t xml:space="preserve">      calcInsuranceCost({</w:t>
      </w:r>
    </w:p>
    <w:p>
      <w:pPr>
        <w:pStyle w:val="SourceListing"/>
      </w:pPr>
      <w:r>
        <w:t xml:space="preserve">        vehicleAge: 0,</w:t>
      </w:r>
    </w:p>
    <w:p>
      <w:pPr>
        <w:pStyle w:val="SourceListing"/>
      </w:pPr>
      <w:r>
        <w:t xml:space="preserve">        driverExperience: 3,</w:t>
      </w:r>
    </w:p>
    <w:p>
      <w:pPr>
        <w:pStyle w:val="SourceListing"/>
      </w:pPr>
      <w:r>
        <w:t xml:space="preserve">        accidentFreeDiscountPercent,</w:t>
      </w:r>
    </w:p>
    <w:p>
      <w:pPr>
        <w:pStyle w:val="SourceListing"/>
      </w:pPr>
      <w:r>
        <w:t xml:space="preserve">      }),</w:t>
      </w:r>
    </w:p>
    <w:p>
      <w:pPr>
        <w:pStyle w:val="SourceListing"/>
      </w:pPr>
      <w:r>
        <w:t xml:space="preserve">    ).toBe(expected);</w:t>
      </w:r>
    </w:p>
    <w:p>
      <w:pPr>
        <w:pStyle w:val="SourceListing"/>
      </w:pPr>
      <w:r>
        <w:t xml:space="preserve">  },</w:t>
      </w:r>
    </w:p>
    <w:p>
      <w:pPr>
        <w:pStyle w:val="SourceListing"/>
      </w:pPr>
      <w:r>
        <w:t>);</w:t>
      </w:r>
    </w:p>
    <w:p>
      <w:pPr>
        <w:pStyle w:val="SourceListing"/>
      </w:pPr>
      <w:r/>
    </w:p>
    <w:p>
      <w:pPr>
        <w:pStyle w:val="SourceListing"/>
      </w:pPr>
      <w:r>
        <w:t>it('accepts a small positive driving experience', () =&gt; {</w:t>
      </w:r>
    </w:p>
    <w:p>
      <w:pPr>
        <w:pStyle w:val="SourceListing"/>
      </w:pPr>
      <w:r>
        <w:t xml:space="preserve">  expect(calcInsuranceCost({ vehicleAge: 0, driverExperience: 0.01 })).toBe(</w:t>
      </w:r>
    </w:p>
    <w:p>
      <w:pPr>
        <w:pStyle w:val="SourceListing"/>
      </w:pPr>
      <w:r>
        <w:t xml:space="preserve">    3750,</w:t>
      </w:r>
    </w:p>
    <w:p>
      <w:pPr>
        <w:pStyle w:val="SourceListing"/>
      </w:pPr>
      <w:r>
        <w:t xml:space="preserve">  );</w:t>
      </w:r>
    </w:p>
    <w:p>
      <w:pPr>
        <w:pStyle w:val="SourceListing"/>
      </w:pPr>
      <w:r>
        <w:t>});</w:t>
      </w:r>
    </w:p>
    <w:p>
      <w:pPr>
        <w:pStyle w:val="SourceListing"/>
      </w:pPr>
      <w:r/>
    </w:p>
    <w:p>
      <w:pPr>
        <w:pStyle w:val="SourceListing"/>
      </w:pPr>
      <w:r>
        <w:t>it.each([</w:t>
      </w:r>
    </w:p>
    <w:p>
      <w:pPr>
        <w:pStyle w:val="SourceListing"/>
      </w:pPr>
      <w:r>
        <w:t xml:space="preserve">  { discount: 12.34549, experience: 3, expected: 2629.64 },</w:t>
      </w:r>
    </w:p>
    <w:p>
      <w:pPr>
        <w:pStyle w:val="SourceListing"/>
      </w:pPr>
      <w:r>
        <w:t xml:space="preserve">  { discount: 12.3455, experience: 3, expected: 2629.64 },</w:t>
      </w:r>
    </w:p>
    <w:p>
      <w:pPr>
        <w:pStyle w:val="SourceListing"/>
      </w:pPr>
      <w:r>
        <w:t xml:space="preserve">  { discount: 12.34551, experience: 3, expected: 2629.63 },</w:t>
      </w:r>
    </w:p>
    <w:p>
      <w:pPr>
        <w:pStyle w:val="SourceListing"/>
      </w:pPr>
      <w:r>
        <w:t xml:space="preserve">  { discount: 12.3456, experience: 2, expected: 3287.04 },</w:t>
      </w:r>
    </w:p>
    <w:p>
      <w:pPr>
        <w:pStyle w:val="SourceListing"/>
      </w:pPr>
      <w:r>
        <w:t xml:space="preserve">  { discount: 0.0000001, experience: 3, expected: 3000 },</w:t>
      </w:r>
    </w:p>
    <w:p>
      <w:pPr>
        <w:pStyle w:val="SourceListing"/>
      </w:pPr>
      <w:r>
        <w:t>])(</w:t>
      </w:r>
    </w:p>
    <w:p>
      <w:pPr>
        <w:pStyle w:val="SourceListing"/>
      </w:pPr>
      <w:r>
        <w:t xml:space="preserve">  'rounds only final premium $discount $experience to $expected',</w:t>
      </w:r>
    </w:p>
    <w:p>
      <w:pPr>
        <w:pStyle w:val="SourceListing"/>
      </w:pPr>
      <w:r>
        <w:t xml:space="preserve">  ({ discount, experience, expected }) =&gt; {</w:t>
      </w:r>
    </w:p>
    <w:p>
      <w:pPr>
        <w:pStyle w:val="SourceListing"/>
      </w:pPr>
      <w:r>
        <w:t xml:space="preserve">    const result = calcInsuranceCost({</w:t>
      </w:r>
    </w:p>
    <w:p>
      <w:pPr>
        <w:pStyle w:val="SourceListing"/>
      </w:pPr>
      <w:r>
        <w:t xml:space="preserve">      vehicleAge: 0,</w:t>
      </w:r>
    </w:p>
    <w:p>
      <w:pPr>
        <w:pStyle w:val="SourceListing"/>
      </w:pPr>
      <w:r>
        <w:t xml:space="preserve">      driverExperience: experience,</w:t>
      </w:r>
    </w:p>
    <w:p>
      <w:pPr>
        <w:pStyle w:val="SourceListing"/>
      </w:pPr>
      <w:r>
        <w:t xml:space="preserve">      accidentFreeDiscountPercent: discount,</w:t>
      </w:r>
    </w:p>
    <w:p>
      <w:pPr>
        <w:pStyle w:val="SourceListing"/>
      </w:pPr>
      <w:r>
        <w:t xml:space="preserve">    });</w:t>
      </w:r>
    </w:p>
    <w:p>
      <w:pPr>
        <w:pStyle w:val="SourceListing"/>
      </w:pPr>
      <w:r>
        <w:t xml:space="preserve">    expect(result).toBe(expected);</w:t>
      </w:r>
    </w:p>
    <w:p>
      <w:pPr>
        <w:pStyle w:val="SourceListing"/>
      </w:pPr>
      <w:r>
        <w:t xml:space="preserve">    expect(result.toFixed(2)).toBe(expected.toFixed(2));</w:t>
      </w:r>
    </w:p>
    <w:p>
      <w:pPr>
        <w:pStyle w:val="SourceListing"/>
      </w:pPr>
      <w:r>
        <w:t xml:space="preserve">  },</w:t>
      </w:r>
    </w:p>
    <w:p>
      <w:pPr>
        <w:pStyle w:val="SourceListing"/>
      </w:pPr>
      <w:r>
        <w:t>);</w:t>
      </w:r>
    </w:p>
    <w:p>
      <w:pPr>
        <w:pStyle w:val="SourceListing"/>
      </w:pPr>
      <w:r/>
    </w:p>
    <w:p>
      <w:pPr>
        <w:pStyle w:val="SourceListing"/>
      </w:pPr>
      <w:r>
        <w:t>it.each([</w:t>
      </w:r>
    </w:p>
    <w:p>
      <w:pPr>
        <w:pStyle w:val="SourceListing"/>
      </w:pPr>
      <w:r>
        <w:t xml:space="preserve">  { vehicleAge: 0, driverExperience: 3, expected: 2100 },</w:t>
      </w:r>
    </w:p>
    <w:p>
      <w:pPr>
        <w:pStyle w:val="SourceListing"/>
      </w:pPr>
      <w:r>
        <w:t xml:space="preserve">  { vehicleAge: 0, driverExperience: 2, expected: 2625 },</w:t>
      </w:r>
    </w:p>
    <w:p>
      <w:pPr>
        <w:pStyle w:val="SourceListing"/>
      </w:pPr>
      <w:r>
        <w:t xml:space="preserve">  { vehicleAge: 4, driverExperience: 3, expected: 2800 },</w:t>
      </w:r>
    </w:p>
    <w:p>
      <w:pPr>
        <w:pStyle w:val="SourceListing"/>
      </w:pPr>
      <w:r>
        <w:t xml:space="preserve">  { vehicleAge: 4, driverExperience: 2, expected: 3500 },</w:t>
      </w:r>
    </w:p>
    <w:p>
      <w:pPr>
        <w:pStyle w:val="SourceListing"/>
      </w:pPr>
      <w:r>
        <w:t xml:space="preserve">  { vehicleAge: 11, driverExperience: 3, expected: 3500 },</w:t>
      </w:r>
    </w:p>
    <w:p>
      <w:pPr>
        <w:pStyle w:val="SourceListing"/>
      </w:pPr>
      <w:r>
        <w:t xml:space="preserve">  { vehicleAge: 11, driverExperience: 2, expected: 4375 },</w:t>
      </w:r>
    </w:p>
    <w:p>
      <w:pPr>
        <w:pStyle w:val="SourceListing"/>
      </w:pPr>
      <w:r>
        <w:t>])(</w:t>
      </w:r>
    </w:p>
    <w:p>
      <w:pPr>
        <w:pStyle w:val="SourceListing"/>
      </w:pPr>
      <w:r>
        <w:t xml:space="preserve">  'combines category and experience $vehicleAge $driverExperience',</w:t>
      </w:r>
    </w:p>
    <w:p>
      <w:pPr>
        <w:pStyle w:val="SourceListing"/>
      </w:pPr>
      <w:r>
        <w:t xml:space="preserve">  ({ expected, ...input }) =&gt; {</w:t>
      </w:r>
    </w:p>
    <w:p>
      <w:pPr>
        <w:pStyle w:val="SourceListing"/>
      </w:pPr>
      <w:r>
        <w:t xml:space="preserve">    expect(</w:t>
      </w:r>
    </w:p>
    <w:p>
      <w:pPr>
        <w:pStyle w:val="SourceListing"/>
      </w:pPr>
      <w:r>
        <w:t xml:space="preserve">      calcInsuranceCost({ ...input, accidentFreeDiscountPercent: 30 }),</w:t>
      </w:r>
    </w:p>
    <w:p>
      <w:pPr>
        <w:pStyle w:val="SourceListing"/>
      </w:pPr>
      <w:r>
        <w:t xml:space="preserve">    ).toBe(expected);</w:t>
      </w:r>
    </w:p>
    <w:p>
      <w:pPr>
        <w:pStyle w:val="SourceListing"/>
      </w:pPr>
      <w:r>
        <w:t xml:space="preserve">  },</w:t>
      </w:r>
    </w:p>
    <w:p>
      <w:pPr>
        <w:pStyle w:val="SourceListing"/>
      </w:pPr>
      <w:r>
        <w:t>);</w:t>
      </w:r>
    </w:p>
    <w:p>
      <w:pPr>
        <w:pStyle w:val="SourceListing"/>
      </w:pPr>
      <w:r/>
    </w:p>
    <w:p>
      <w:pPr>
        <w:pStyle w:val="SourceListing"/>
      </w:pPr>
      <w:r>
        <w:t>it('throws a meaningful RangeError for invalid age', () =&gt; {</w:t>
      </w:r>
    </w:p>
    <w:p>
      <w:pPr>
        <w:pStyle w:val="SourceListing"/>
      </w:pPr>
      <w:r>
        <w:t xml:space="preserve">  expect(() =&gt;</w:t>
      </w:r>
    </w:p>
    <w:p>
      <w:pPr>
        <w:pStyle w:val="SourceListing"/>
      </w:pPr>
      <w:r>
        <w:t xml:space="preserve">    calcInsuranceCost({ vehicleAge: -1, driverExperience: 3 }),</w:t>
      </w:r>
    </w:p>
    <w:p>
      <w:pPr>
        <w:pStyle w:val="SourceListing"/>
      </w:pPr>
      <w:r>
        <w:t xml:space="preserve">  ).toThrow(RangeError);</w:t>
      </w:r>
    </w:p>
    <w:p>
      <w:pPr>
        <w:pStyle w:val="SourceListing"/>
      </w:pPr>
      <w:r>
        <w:t>});</w:t>
      </w:r>
    </w:p>
    <w:p>
      <w:pPr>
        <w:pStyle w:val="SourceListing"/>
      </w:pPr>
      <w:r/>
    </w:p>
    <w:p>
      <w:pPr>
        <w:pStyle w:val="SourceListing"/>
      </w:pPr>
      <w:r>
        <w:t>it.each([</w:t>
      </w:r>
    </w:p>
    <w:p>
      <w:pPr>
        <w:pStyle w:val="SourceListing"/>
      </w:pPr>
      <w:r>
        <w:t xml:space="preserve">  [29, 2130],</w:t>
      </w:r>
    </w:p>
    <w:p>
      <w:pPr>
        <w:pStyle w:val="SourceListing"/>
      </w:pPr>
      <w:r>
        <w:t xml:space="preserve">  [29.99, 2100.3],</w:t>
      </w:r>
    </w:p>
    <w:p>
      <w:pPr>
        <w:pStyle w:val="SourceListing"/>
      </w:pPr>
      <w:r>
        <w:t xml:space="preserve">  [30, 2100],</w:t>
      </w:r>
    </w:p>
    <w:p>
      <w:pPr>
        <w:pStyle w:val="SourceListing"/>
      </w:pPr>
      <w:r>
        <w:t xml:space="preserve">  [30.01, 2100],</w:t>
      </w:r>
    </w:p>
    <w:p>
      <w:pPr>
        <w:pStyle w:val="SourceListing"/>
      </w:pPr>
      <w:r>
        <w:t xml:space="preserve">  [31, 2100],</w:t>
      </w:r>
    </w:p>
    <w:p>
      <w:pPr>
        <w:pStyle w:val="SourceListing"/>
      </w:pPr>
      <w:r>
        <w:t xml:space="preserve">  [100, 2100],</w:t>
      </w:r>
    </w:p>
    <w:p>
      <w:pPr>
        <w:pStyle w:val="SourceListing"/>
      </w:pPr>
      <w:r>
        <w:t xml:space="preserve">  [Number.MAX_VALUE, 2100],</w:t>
      </w:r>
    </w:p>
    <w:p>
      <w:pPr>
        <w:pStyle w:val="SourceListing"/>
      </w:pPr>
      <w:r>
        <w:t>])(</w:t>
      </w:r>
    </w:p>
    <w:p>
      <w:pPr>
        <w:pStyle w:val="SourceListing"/>
      </w:pPr>
      <w:r>
        <w:t xml:space="preserve">  'discount cap boundary %s percent costs %s',</w:t>
      </w:r>
    </w:p>
    <w:p>
      <w:pPr>
        <w:pStyle w:val="SourceListing"/>
      </w:pPr>
      <w:r>
        <w:t xml:space="preserve">  (accidentFreeDiscountPercent, expected) =&gt; {</w:t>
      </w:r>
    </w:p>
    <w:p>
      <w:pPr>
        <w:pStyle w:val="SourceListing"/>
      </w:pPr>
      <w:r>
        <w:t xml:space="preserve">    expect(</w:t>
      </w:r>
    </w:p>
    <w:p>
      <w:pPr>
        <w:pStyle w:val="SourceListing"/>
      </w:pPr>
      <w:r>
        <w:t xml:space="preserve">      calcInsuranceCost({</w:t>
      </w:r>
    </w:p>
    <w:p>
      <w:pPr>
        <w:pStyle w:val="SourceListing"/>
      </w:pPr>
      <w:r>
        <w:t xml:space="preserve">        vehicleAge: 0,</w:t>
      </w:r>
    </w:p>
    <w:p>
      <w:pPr>
        <w:pStyle w:val="SourceListing"/>
      </w:pPr>
      <w:r>
        <w:t xml:space="preserve">        driverExperience: 3,</w:t>
      </w:r>
    </w:p>
    <w:p>
      <w:pPr>
        <w:pStyle w:val="SourceListing"/>
      </w:pPr>
      <w:r>
        <w:t xml:space="preserve">        accidentFreeDiscountPercent,</w:t>
      </w:r>
    </w:p>
    <w:p>
      <w:pPr>
        <w:pStyle w:val="SourceListing"/>
      </w:pPr>
      <w:r>
        <w:t xml:space="preserve">      }),</w:t>
      </w:r>
    </w:p>
    <w:p>
      <w:pPr>
        <w:pStyle w:val="SourceListing"/>
      </w:pPr>
      <w:r>
        <w:t xml:space="preserve">    ).toBeCloseTo(expected, 8);</w:t>
      </w:r>
    </w:p>
    <w:p>
      <w:pPr>
        <w:pStyle w:val="SourceListing"/>
      </w:pPr>
      <w:r>
        <w:t xml:space="preserve">  },</w:t>
      </w:r>
    </w:p>
    <w:p>
      <w:pPr>
        <w:pStyle w:val="SourceListing"/>
      </w:pPr>
      <w:r>
        <w:t>);</w:t>
      </w:r>
    </w:p>
    <w:p>
      <w:pPr>
        <w:pStyle w:val="SourceListing"/>
      </w:pPr>
      <w:r/>
    </w:p>
    <w:p>
      <w:pPr>
        <w:pStyle w:val="SourceListing"/>
      </w:pPr>
      <w:r>
        <w:t>it('caps the discount for an old car driven by a novice', () =&gt; {</w:t>
      </w:r>
    </w:p>
    <w:p>
      <w:pPr>
        <w:pStyle w:val="SourceListing"/>
      </w:pPr>
      <w:r>
        <w:t xml:space="preserve">  // 5000 + 1250 - 1875 = 4375, discount is on 6250, not on 5000.</w:t>
      </w:r>
    </w:p>
    <w:p>
      <w:pPr>
        <w:pStyle w:val="SourceListing"/>
      </w:pPr>
      <w:r>
        <w:t xml:space="preserve">  expect(</w:t>
      </w:r>
    </w:p>
    <w:p>
      <w:pPr>
        <w:pStyle w:val="SourceListing"/>
      </w:pPr>
      <w:r>
        <w:t xml:space="preserve">    calcInsuranceCost({</w:t>
      </w:r>
    </w:p>
    <w:p>
      <w:pPr>
        <w:pStyle w:val="SourceListing"/>
      </w:pPr>
      <w:r>
        <w:t xml:space="preserve">      vehicleAge: 11,</w:t>
      </w:r>
    </w:p>
    <w:p>
      <w:pPr>
        <w:pStyle w:val="SourceListing"/>
      </w:pPr>
      <w:r>
        <w:t xml:space="preserve">      driverExperience: 2,</w:t>
      </w:r>
    </w:p>
    <w:p>
      <w:pPr>
        <w:pStyle w:val="SourceListing"/>
      </w:pPr>
      <w:r>
        <w:t xml:space="preserve">      accidentFreeDiscountPercent: 31,</w:t>
      </w:r>
    </w:p>
    <w:p>
      <w:pPr>
        <w:pStyle w:val="SourceListing"/>
      </w:pPr>
      <w:r>
        <w:t xml:space="preserve">    }),</w:t>
      </w:r>
    </w:p>
    <w:p>
      <w:pPr>
        <w:pStyle w:val="SourceListing"/>
      </w:pPr>
      <w:r>
        <w:t xml:space="preserve">  ).toBe(4375);</w:t>
      </w:r>
    </w:p>
    <w:p>
      <w:pPr>
        <w:pStyle w:val="SourceListing"/>
      </w:pPr>
      <w:r>
        <w:t>});</w:t>
      </w:r>
    </w:p>
    <w:p>
      <w:pPr>
        <w:pStyle w:val="SourceListing"/>
      </w:pPr>
      <w:r/>
    </w:p>
    <w:p>
      <w:pPr>
        <w:pStyle w:val="SourceListing"/>
      </w:pPr>
      <w:r>
        <w:t>it.each([</w:t>
      </w:r>
    </w:p>
    <w:p>
      <w:pPr>
        <w:pStyle w:val="SourceListing"/>
      </w:pPr>
      <w:r>
        <w:t xml:space="preserve">  [0, 3000],</w:t>
      </w:r>
    </w:p>
    <w:p>
      <w:pPr>
        <w:pStyle w:val="SourceListing"/>
      </w:pPr>
      <w:r>
        <w:t xml:space="preserve">  [0.01, 2999.7],</w:t>
      </w:r>
    </w:p>
    <w:p>
      <w:pPr>
        <w:pStyle w:val="SourceListing"/>
      </w:pPr>
      <w:r>
        <w:t xml:space="preserve">  [1, 2970],</w:t>
      </w:r>
    </w:p>
    <w:p>
      <w:pPr>
        <w:pStyle w:val="SourceListing"/>
      </w:pPr>
      <w:r>
        <w:t xml:space="preserve">  [10, 2700],</w:t>
      </w:r>
    </w:p>
    <w:p>
      <w:pPr>
        <w:pStyle w:val="SourceListing"/>
      </w:pPr>
      <w:r>
        <w:t xml:space="preserve">  [20, 2400],</w:t>
      </w:r>
    </w:p>
    <w:p>
      <w:pPr>
        <w:pStyle w:val="SourceListing"/>
      </w:pPr>
      <w:r>
        <w:t>])(</w:t>
      </w:r>
    </w:p>
    <w:p>
      <w:pPr>
        <w:pStyle w:val="SourceListing"/>
      </w:pPr>
      <w:r>
        <w:t xml:space="preserve">  'accident-free discount %s percent costs %s',</w:t>
      </w:r>
    </w:p>
    <w:p>
      <w:pPr>
        <w:pStyle w:val="SourceListing"/>
      </w:pPr>
      <w:r>
        <w:t xml:space="preserve">  (accidentFreeDiscountPercent, expected) =&gt; {</w:t>
      </w:r>
    </w:p>
    <w:p>
      <w:pPr>
        <w:pStyle w:val="SourceListing"/>
      </w:pPr>
      <w:r>
        <w:t xml:space="preserve">    expect(</w:t>
      </w:r>
    </w:p>
    <w:p>
      <w:pPr>
        <w:pStyle w:val="SourceListing"/>
      </w:pPr>
      <w:r>
        <w:t xml:space="preserve">      calcInsuranceCost({</w:t>
      </w:r>
    </w:p>
    <w:p>
      <w:pPr>
        <w:pStyle w:val="SourceListing"/>
      </w:pPr>
      <w:r>
        <w:t xml:space="preserve">        vehicleAge: 0,</w:t>
      </w:r>
    </w:p>
    <w:p>
      <w:pPr>
        <w:pStyle w:val="SourceListing"/>
      </w:pPr>
      <w:r>
        <w:t xml:space="preserve">        driverExperience: 3,</w:t>
      </w:r>
    </w:p>
    <w:p>
      <w:pPr>
        <w:pStyle w:val="SourceListing"/>
      </w:pPr>
      <w:r>
        <w:t xml:space="preserve">        accidentFreeDiscountPercent,</w:t>
      </w:r>
    </w:p>
    <w:p>
      <w:pPr>
        <w:pStyle w:val="SourceListing"/>
      </w:pPr>
      <w:r>
        <w:t xml:space="preserve">      }),</w:t>
      </w:r>
    </w:p>
    <w:p>
      <w:pPr>
        <w:pStyle w:val="SourceListing"/>
      </w:pPr>
      <w:r>
        <w:t xml:space="preserve">    ).toBe(expected);</w:t>
      </w:r>
    </w:p>
    <w:p>
      <w:pPr>
        <w:pStyle w:val="SourceListing"/>
      </w:pPr>
      <w:r>
        <w:t xml:space="preserve">  },</w:t>
      </w:r>
    </w:p>
    <w:p>
      <w:pPr>
        <w:pStyle w:val="SourceListing"/>
      </w:pPr>
      <w:r>
        <w:t>);</w:t>
      </w:r>
    </w:p>
    <w:p>
      <w:pPr>
        <w:pStyle w:val="SourceListing"/>
      </w:pPr>
      <w:r/>
    </w:p>
    <w:p>
      <w:pPr>
        <w:pStyle w:val="SourceListing"/>
      </w:pPr>
      <w:r>
        <w:t>it('discounts the surcharged amount for an inexperienced driver', () =&gt; {</w:t>
      </w:r>
    </w:p>
    <w:p>
      <w:pPr>
        <w:pStyle w:val="SourceListing"/>
      </w:pPr>
      <w:r>
        <w:t xml:space="preserve">  // Independently: 3000 + 750 surcharge - 750 discount = 3000 UAH.</w:t>
      </w:r>
    </w:p>
    <w:p>
      <w:pPr>
        <w:pStyle w:val="SourceListing"/>
      </w:pPr>
      <w:r>
        <w:t xml:space="preserve">  expect(</w:t>
      </w:r>
    </w:p>
    <w:p>
      <w:pPr>
        <w:pStyle w:val="SourceListing"/>
      </w:pPr>
      <w:r>
        <w:t xml:space="preserve">    calcInsuranceCost({</w:t>
      </w:r>
    </w:p>
    <w:p>
      <w:pPr>
        <w:pStyle w:val="SourceListing"/>
      </w:pPr>
      <w:r>
        <w:t xml:space="preserve">      vehicleAge: 0,</w:t>
      </w:r>
    </w:p>
    <w:p>
      <w:pPr>
        <w:pStyle w:val="SourceListing"/>
      </w:pPr>
      <w:r>
        <w:t xml:space="preserve">      driverExperience: 2,</w:t>
      </w:r>
    </w:p>
    <w:p>
      <w:pPr>
        <w:pStyle w:val="SourceListing"/>
      </w:pPr>
      <w:r>
        <w:t xml:space="preserve">      accidentFreeDiscountPercent: 20,</w:t>
      </w:r>
    </w:p>
    <w:p>
      <w:pPr>
        <w:pStyle w:val="SourceListing"/>
      </w:pPr>
      <w:r>
        <w:t xml:space="preserve">    }),</w:t>
      </w:r>
    </w:p>
    <w:p>
      <w:pPr>
        <w:pStyle w:val="SourceListing"/>
      </w:pPr>
      <w:r>
        <w:t xml:space="preserve">  ).toBe(3000);</w:t>
      </w:r>
    </w:p>
    <w:p>
      <w:pPr>
        <w:pStyle w:val="SourceListing"/>
      </w:pPr>
      <w:r>
        <w:t>});</w:t>
      </w:r>
    </w:p>
    <w:p>
      <w:pPr>
        <w:pStyle w:val="SourceListing"/>
      </w:pPr>
      <w:r/>
    </w:p>
    <w:p>
      <w:pPr>
        <w:pStyle w:val="SourceListing"/>
      </w:pPr>
      <w:r>
        <w:t>it.each([</w:t>
      </w:r>
    </w:p>
    <w:p>
      <w:pPr>
        <w:pStyle w:val="SourceListing"/>
      </w:pPr>
      <w:r>
        <w:t xml:space="preserve">  [0, 3750],</w:t>
      </w:r>
    </w:p>
    <w:p>
      <w:pPr>
        <w:pStyle w:val="SourceListing"/>
      </w:pPr>
      <w:r>
        <w:t xml:space="preserve">  [2, 3750],</w:t>
      </w:r>
    </w:p>
    <w:p>
      <w:pPr>
        <w:pStyle w:val="SourceListing"/>
      </w:pPr>
      <w:r>
        <w:t xml:space="preserve">  [2.99, 3750],</w:t>
      </w:r>
    </w:p>
    <w:p>
      <w:pPr>
        <w:pStyle w:val="SourceListing"/>
      </w:pPr>
      <w:r>
        <w:t xml:space="preserve">  [3, 3000],</w:t>
      </w:r>
    </w:p>
    <w:p>
      <w:pPr>
        <w:pStyle w:val="SourceListing"/>
      </w:pPr>
      <w:r>
        <w:t xml:space="preserve">  [3.01, 3000],</w:t>
      </w:r>
    </w:p>
    <w:p>
      <w:pPr>
        <w:pStyle w:val="SourceListing"/>
      </w:pPr>
      <w:r>
        <w:t xml:space="preserve">  [4, 3000],</w:t>
      </w:r>
    </w:p>
    <w:p>
      <w:pPr>
        <w:pStyle w:val="SourceListing"/>
      </w:pPr>
      <w:r>
        <w:t>])('experience boundary %s costs %i', (driverExperience, expected) =&gt; {</w:t>
      </w:r>
    </w:p>
    <w:p>
      <w:pPr>
        <w:pStyle w:val="SourceListing"/>
      </w:pPr>
      <w:r>
        <w:t xml:space="preserve">  expect(calcInsuranceCost({ vehicleAge: 0, driverExperience })).toBe(expected);</w:t>
      </w:r>
    </w:p>
    <w:p>
      <w:pPr>
        <w:pStyle w:val="SourceListing"/>
      </w:pPr>
      <w:r>
        <w:t>});</w:t>
      </w:r>
    </w:p>
    <w:p>
      <w:pPr>
        <w:pStyle w:val="SourceListing"/>
      </w:pPr>
      <w:r/>
    </w:p>
    <w:p>
      <w:pPr>
        <w:pStyle w:val="SourceListing"/>
      </w:pPr>
      <w:r>
        <w:t>it.each([</w:t>
      </w:r>
    </w:p>
    <w:p>
      <w:pPr>
        <w:pStyle w:val="SourceListing"/>
      </w:pPr>
      <w:r>
        <w:t xml:space="preserve">  [4, 5000],</w:t>
      </w:r>
    </w:p>
    <w:p>
      <w:pPr>
        <w:pStyle w:val="SourceListing"/>
      </w:pPr>
      <w:r>
        <w:t xml:space="preserve">  [11, 6250],</w:t>
      </w:r>
    </w:p>
    <w:p>
      <w:pPr>
        <w:pStyle w:val="SourceListing"/>
      </w:pPr>
      <w:r>
        <w:t>])('novice with vehicle age %i costs %i', (vehicleAge, expected) =&gt; {</w:t>
      </w:r>
    </w:p>
    <w:p>
      <w:pPr>
        <w:pStyle w:val="SourceListing"/>
      </w:pPr>
      <w:r>
        <w:t xml:space="preserve">  expect(calcInsuranceCost({ vehicleAge, driverExperience: 2 })).toBe(expected);</w:t>
      </w:r>
    </w:p>
    <w:p>
      <w:pPr>
        <w:pStyle w:val="SourceListing"/>
      </w:pPr>
      <w:r>
        <w:t>});</w:t>
      </w:r>
    </w:p>
    <w:p>
      <w:pPr>
        <w:pStyle w:val="SourceListing"/>
      </w:pPr>
      <w:r/>
    </w:p>
    <w:p>
      <w:pPr>
        <w:pStyle w:val="SourceListing"/>
      </w:pPr>
      <w:r>
        <w:t>it.each([</w:t>
      </w:r>
    </w:p>
    <w:p>
      <w:pPr>
        <w:pStyle w:val="SourceListing"/>
      </w:pPr>
      <w:r>
        <w:t xml:space="preserve">  [2, 3000],</w:t>
      </w:r>
    </w:p>
    <w:p>
      <w:pPr>
        <w:pStyle w:val="SourceListing"/>
      </w:pPr>
      <w:r>
        <w:t xml:space="preserve">  [3, 3000],</w:t>
      </w:r>
    </w:p>
    <w:p>
      <w:pPr>
        <w:pStyle w:val="SourceListing"/>
      </w:pPr>
      <w:r>
        <w:t xml:space="preserve">  [4, 4000],</w:t>
      </w:r>
    </w:p>
    <w:p>
      <w:pPr>
        <w:pStyle w:val="SourceListing"/>
      </w:pPr>
      <w:r>
        <w:t xml:space="preserve">  [9, 4000],</w:t>
      </w:r>
    </w:p>
    <w:p>
      <w:pPr>
        <w:pStyle w:val="SourceListing"/>
      </w:pPr>
      <w:r>
        <w:t xml:space="preserve">  [10, 4000],</w:t>
      </w:r>
    </w:p>
    <w:p>
      <w:pPr>
        <w:pStyle w:val="SourceListing"/>
      </w:pPr>
      <w:r>
        <w:t xml:space="preserve">  [11, 5000],</w:t>
      </w:r>
    </w:p>
    <w:p>
      <w:pPr>
        <w:pStyle w:val="SourceListing"/>
      </w:pPr>
      <w:r>
        <w:t xml:space="preserve">  [Number.MAX_SAFE_INTEGER - 1, 5000],</w:t>
      </w:r>
    </w:p>
    <w:p>
      <w:pPr>
        <w:pStyle w:val="SourceListing"/>
      </w:pPr>
      <w:r>
        <w:t xml:space="preserve">  [Number.MAX_SAFE_INTEGER, 5000],</w:t>
      </w:r>
    </w:p>
    <w:p>
      <w:pPr>
        <w:pStyle w:val="SourceListing"/>
      </w:pPr>
      <w:r>
        <w:t>])('age category boundary %i costs %i', (vehicleAge, expected) =&gt; {</w:t>
      </w:r>
    </w:p>
    <w:p>
      <w:pPr>
        <w:pStyle w:val="SourceListing"/>
      </w:pPr>
      <w:r>
        <w:t xml:space="preserve">  expect(calcInsuranceCost({ vehicleAge, driverExperience: 3 })).toBe(expected);</w:t>
      </w:r>
    </w:p>
    <w:p>
      <w:pPr>
        <w:pStyle w:val="SourceListing"/>
      </w:pPr>
      <w:r>
        <w:t>});</w:t>
      </w:r>
    </w:p>
    <w:p>
      <w:pPr>
        <w:pStyle w:val="SourceListing"/>
      </w:pPr>
      <w:r/>
    </w:p>
    <w:p>
      <w:pPr>
        <w:pStyle w:val="SourceListing"/>
      </w:pPr>
      <w:r>
        <w:t>it.each([0, 1, 2, 3])('base cost for a young vehicle aged %i', (vehicleAge) =&gt; {</w:t>
      </w:r>
    </w:p>
    <w:p>
      <w:pPr>
        <w:pStyle w:val="SourceListing"/>
      </w:pPr>
      <w:r>
        <w:t xml:space="preserve">  expect(calcInsuranceCost({ vehicleAge, driverExperience: 3 })).toBe(3000);</w:t>
      </w:r>
    </w:p>
    <w:p>
      <w:pPr>
        <w:pStyle w:val="SourceListing"/>
      </w:pPr>
      <w:r>
        <w:t>});</w:t>
      </w:r>
    </w:p>
    <w:p>
      <w:pPr>
        <w:pStyle w:val="SourceListing"/>
      </w:pPr>
      <w:r/>
    </w:p>
    <w:p>
      <w:pPr>
        <w:pStyle w:val="SourceListing"/>
      </w:pPr>
      <w:r>
        <w:t>it.each([</w:t>
      </w:r>
    </w:p>
    <w:p>
      <w:pPr>
        <w:pStyle w:val="SourceListing"/>
      </w:pPr>
      <w:r>
        <w:t xml:space="preserve">  -1,</w:t>
      </w:r>
    </w:p>
    <w:p>
      <w:pPr>
        <w:pStyle w:val="SourceListing"/>
      </w:pPr>
      <w:r>
        <w:t xml:space="preserve">  -0.01,</w:t>
      </w:r>
    </w:p>
    <w:p>
      <w:pPr>
        <w:pStyle w:val="SourceListing"/>
      </w:pPr>
      <w:r>
        <w:t xml:space="preserve">  0.5,</w:t>
      </w:r>
    </w:p>
    <w:p>
      <w:pPr>
        <w:pStyle w:val="SourceListing"/>
      </w:pPr>
      <w:r>
        <w:t xml:space="preserve">  NaN,</w:t>
      </w:r>
    </w:p>
    <w:p>
      <w:pPr>
        <w:pStyle w:val="SourceListing"/>
      </w:pPr>
      <w:r>
        <w:t xml:space="preserve">  Infinity,</w:t>
      </w:r>
    </w:p>
    <w:p>
      <w:pPr>
        <w:pStyle w:val="SourceListing"/>
      </w:pPr>
      <w:r>
        <w:t xml:space="preserve">  -Infinity,</w:t>
      </w:r>
    </w:p>
    <w:p>
      <w:pPr>
        <w:pStyle w:val="SourceListing"/>
      </w:pPr>
      <w:r>
        <w:t xml:space="preserve">  Number.MAX_SAFE_INTEGER + 1,</w:t>
      </w:r>
    </w:p>
    <w:p>
      <w:pPr>
        <w:pStyle w:val="SourceListing"/>
      </w:pPr>
      <w:r>
        <w:t>])('rejects invalid vehicle age %s', (vehicleAge) =&gt; {</w:t>
      </w:r>
    </w:p>
    <w:p>
      <w:pPr>
        <w:pStyle w:val="SourceListing"/>
      </w:pPr>
      <w:r>
        <w:t xml:space="preserve">  expect(() =&gt; calcInsuranceCost({ vehicleAge, driverExperience: 3 })).toThrow(</w:t>
      </w:r>
    </w:p>
    <w:p>
      <w:pPr>
        <w:pStyle w:val="SourceListing"/>
      </w:pPr>
      <w:r>
        <w:t xml:space="preserve">    'INVALID_VEHICLE_AGE',</w:t>
      </w:r>
    </w:p>
    <w:p>
      <w:pPr>
        <w:pStyle w:val="SourceListing"/>
      </w:pPr>
      <w:r>
        <w:t xml:space="preserve">  );</w:t>
      </w:r>
    </w:p>
    <w:p>
      <w:pPr>
        <w:pStyle w:val="SourceListing"/>
      </w:pPr>
      <w:r>
        <w:t>});</w:t>
      </w:r>
    </w:p>
    <w:p>
      <w:pPr>
        <w:pStyle w:val="SourceListing"/>
      </w:pPr>
      <w:r/>
    </w:p>
    <w:p>
      <w:pPr>
        <w:pStyle w:val="SourceListing"/>
      </w:pPr>
      <w:r>
        <w:t>it.each([-1, -0.01, NaN, Infinity, -Infinity])(</w:t>
      </w:r>
    </w:p>
    <w:p>
      <w:pPr>
        <w:pStyle w:val="SourceListing"/>
      </w:pPr>
      <w:r>
        <w:t xml:space="preserve">  'rejects invalid driving experience %s',</w:t>
      </w:r>
    </w:p>
    <w:p>
      <w:pPr>
        <w:pStyle w:val="SourceListing"/>
      </w:pPr>
      <w:r>
        <w:t xml:space="preserve">  (driverExperience) =&gt; {</w:t>
      </w:r>
    </w:p>
    <w:p>
      <w:pPr>
        <w:pStyle w:val="SourceListing"/>
      </w:pPr>
      <w:r>
        <w:t xml:space="preserve">    expect(() =&gt;</w:t>
      </w:r>
    </w:p>
    <w:p>
      <w:pPr>
        <w:pStyle w:val="SourceListing"/>
      </w:pPr>
      <w:r>
        <w:t xml:space="preserve">      calcInsuranceCost({ vehicleAge: 0, driverExperience }),</w:t>
      </w:r>
    </w:p>
    <w:p>
      <w:pPr>
        <w:pStyle w:val="SourceListing"/>
      </w:pPr>
      <w:r>
        <w:t xml:space="preserve">    ).toThrow('INVALID_DRIVER_EXPERIENCE');</w:t>
      </w:r>
    </w:p>
    <w:p>
      <w:pPr>
        <w:pStyle w:val="SourceListing"/>
      </w:pPr>
      <w:r>
        <w:t xml:space="preserve">  },</w:t>
      </w:r>
    </w:p>
    <w:p>
      <w:pPr>
        <w:pStyle w:val="SourceListing"/>
      </w:pPr>
      <w:r>
        <w:t>);</w:t>
      </w:r>
    </w:p>
    <w:p>
      <w:pPr>
        <w:pStyle w:val="SourceListing"/>
      </w:pPr>
      <w:r/>
    </w:p>
    <w:p>
      <w:pPr>
        <w:pStyle w:val="SourceListing"/>
      </w:pPr>
      <w:r>
        <w:t>it.each([-1, -0.01, NaN, Infinity, -Infinity])(</w:t>
      </w:r>
    </w:p>
    <w:p>
      <w:pPr>
        <w:pStyle w:val="SourceListing"/>
      </w:pPr>
      <w:r>
        <w:t xml:space="preserve">  'rejects invalid accident-free discount %s',</w:t>
      </w:r>
    </w:p>
    <w:p>
      <w:pPr>
        <w:pStyle w:val="SourceListing"/>
      </w:pPr>
      <w:r>
        <w:t xml:space="preserve">  (accidentFreeDiscountPercent) =&gt; {</w:t>
      </w:r>
    </w:p>
    <w:p>
      <w:pPr>
        <w:pStyle w:val="SourceListing"/>
      </w:pPr>
      <w:r>
        <w:t xml:space="preserve">    expect(() =&gt;</w:t>
      </w:r>
    </w:p>
    <w:p>
      <w:pPr>
        <w:pStyle w:val="SourceListing"/>
      </w:pPr>
      <w:r>
        <w:t xml:space="preserve">      calcInsuranceCost({</w:t>
      </w:r>
    </w:p>
    <w:p>
      <w:pPr>
        <w:pStyle w:val="SourceListing"/>
      </w:pPr>
      <w:r>
        <w:t xml:space="preserve">        vehicleAge: 0,</w:t>
      </w:r>
    </w:p>
    <w:p>
      <w:pPr>
        <w:pStyle w:val="SourceListing"/>
      </w:pPr>
      <w:r>
        <w:t xml:space="preserve">        driverExperience: 3,</w:t>
      </w:r>
    </w:p>
    <w:p>
      <w:pPr>
        <w:pStyle w:val="SourceListing"/>
      </w:pPr>
      <w:r>
        <w:t xml:space="preserve">        accidentFreeDiscountPercent,</w:t>
      </w:r>
    </w:p>
    <w:p>
      <w:pPr>
        <w:pStyle w:val="SourceListing"/>
      </w:pPr>
      <w:r>
        <w:t xml:space="preserve">      }),</w:t>
      </w:r>
    </w:p>
    <w:p>
      <w:pPr>
        <w:pStyle w:val="SourceListing"/>
      </w:pPr>
      <w:r>
        <w:t xml:space="preserve">    ).toThrow('INVALID_ACCIDENT_FREE_DISCOUNT');</w:t>
      </w:r>
    </w:p>
    <w:p>
      <w:pPr>
        <w:pStyle w:val="SourceListing"/>
      </w:pPr>
      <w:r>
        <w:t xml:space="preserve">  },</w:t>
      </w:r>
    </w:p>
    <w:p>
      <w:pPr>
        <w:pStyle w:val="SourceListing"/>
      </w:pPr>
      <w:r>
        <w:t>);</w:t>
      </w:r>
    </w:p>
    <w:p>
      <w:pPr>
        <w:pStyle w:val="Heading1"/>
      </w:pPr>
      <w:r>
        <w:t>5 Виконаний рефакторинг</w:t>
      </w:r>
    </w:p>
    <w:p>
      <w:pPr>
        <w:keepNext w:val="0"/>
      </w:pPr>
      <w:r>
        <w:rPr>
          <w:b w:val="0"/>
        </w:rPr>
        <w:t>Зафіксовано 16 окремих Refactor-комітів, по одному в кожному циклі. Деякі кроки невеликі, наприклад іменування тарифу; змістовні структурні кроки наведено нижче. Жоден із 16 повних прогонів після рефакторингу не завершився невдачею.</w:t>
      </w:r>
    </w:p>
    <w:p>
      <w:pPr>
        <w:keepNext/>
        <w:spacing w:before="120"/>
        <w:ind w:firstLine="0"/>
        <w:jc w:val="center"/>
      </w:pPr>
      <w:r>
        <w:rPr>
          <w:b w:val="0"/>
        </w:rPr>
        <w:t>Таблиця 6 – Структурні зміни під захистом тестів</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402"/>
        <w:gridCol w:w="4535"/>
      </w:tblGrid>
      <w:tr>
        <w:trPr>
          <w:cantSplit/>
          <w:tblHeader/>
        </w:trPr>
        <w:tc>
          <w:tcPr>
            <w:tcW w:type="dxa" w:w="1701"/>
            <w:vAlign w:val="center"/>
          </w:tcPr>
          <w:p>
            <w:pPr>
              <w:spacing w:before="60" w:after="60"/>
              <w:ind w:firstLine="0"/>
              <w:jc w:val="center"/>
            </w:pPr>
            <w:r>
              <w:rPr>
                <w:b w:val="0"/>
              </w:rPr>
              <w:t>Коміт</w:t>
            </w:r>
          </w:p>
        </w:tc>
        <w:tc>
          <w:tcPr>
            <w:tcW w:type="dxa" w:w="3402"/>
            <w:vAlign w:val="center"/>
          </w:tcPr>
          <w:p>
            <w:pPr>
              <w:spacing w:before="60" w:after="60"/>
              <w:ind w:firstLine="0"/>
              <w:jc w:val="left"/>
            </w:pPr>
            <w:r>
              <w:rPr>
                <w:b w:val="0"/>
              </w:rPr>
              <w:t>Було</w:t>
            </w:r>
          </w:p>
        </w:tc>
        <w:tc>
          <w:tcPr>
            <w:tcW w:type="dxa" w:w="4535"/>
            <w:vAlign w:val="center"/>
          </w:tcPr>
          <w:p>
            <w:pPr>
              <w:spacing w:before="60" w:after="60"/>
              <w:ind w:firstLine="0"/>
              <w:jc w:val="left"/>
            </w:pPr>
            <w:r>
              <w:rPr>
                <w:b w:val="0"/>
              </w:rPr>
              <w:t>Стало та навіщо</w:t>
            </w:r>
          </w:p>
        </w:tc>
      </w:tr>
      <w:tr>
        <w:trPr>
          <w:cantSplit/>
        </w:trPr>
        <w:tc>
          <w:tcPr>
            <w:tcW w:type="dxa" w:w="1701"/>
            <w:vAlign w:val="center"/>
          </w:tcPr>
          <w:p>
            <w:pPr>
              <w:spacing w:before="60" w:after="60"/>
              <w:ind w:firstLine="0"/>
              <w:jc w:val="center"/>
            </w:pPr>
            <w:r>
              <w:rPr>
                <w:b w:val="0"/>
              </w:rPr>
              <w:t>3dd6f93</w:t>
            </w:r>
          </w:p>
        </w:tc>
        <w:tc>
          <w:tcPr>
            <w:tcW w:type="dxa" w:w="3402"/>
            <w:vAlign w:val="center"/>
          </w:tcPr>
          <w:p>
            <w:pPr>
              <w:spacing w:before="60" w:after="60"/>
              <w:ind w:firstLine="0"/>
              <w:jc w:val="left"/>
            </w:pPr>
            <w:r>
              <w:rPr>
                <w:b w:val="0"/>
              </w:rPr>
              <w:t>Перевірка тривалості в основній функції</w:t>
            </w:r>
          </w:p>
        </w:tc>
        <w:tc>
          <w:tcPr>
            <w:tcW w:type="dxa" w:w="4535"/>
            <w:vAlign w:val="center"/>
          </w:tcPr>
          <w:p>
            <w:pPr>
              <w:spacing w:before="60" w:after="60"/>
              <w:ind w:firstLine="0"/>
              <w:jc w:val="left"/>
            </w:pPr>
            <w:r>
              <w:rPr>
                <w:b w:val="0"/>
              </w:rPr>
              <w:t>assertValidDuration відокремлює контракт від обчислення.</w:t>
            </w:r>
          </w:p>
        </w:tc>
      </w:tr>
      <w:tr>
        <w:trPr>
          <w:cantSplit/>
        </w:trPr>
        <w:tc>
          <w:tcPr>
            <w:tcW w:type="dxa" w:w="1701"/>
            <w:vAlign w:val="center"/>
          </w:tcPr>
          <w:p>
            <w:pPr>
              <w:spacing w:before="60" w:after="60"/>
              <w:ind w:firstLine="0"/>
              <w:jc w:val="center"/>
            </w:pPr>
            <w:r>
              <w:rPr>
                <w:b w:val="0"/>
              </w:rPr>
              <w:t>0692c42</w:t>
            </w:r>
          </w:p>
        </w:tc>
        <w:tc>
          <w:tcPr>
            <w:tcW w:type="dxa" w:w="3402"/>
            <w:vAlign w:val="center"/>
          </w:tcPr>
          <w:p>
            <w:pPr>
              <w:spacing w:before="60" w:after="60"/>
              <w:ind w:firstLine="0"/>
              <w:jc w:val="left"/>
            </w:pPr>
            <w:r>
              <w:rPr>
                <w:b w:val="0"/>
              </w:rPr>
              <w:t>Порогові тарифи разом із валідацією</w:t>
            </w:r>
          </w:p>
        </w:tc>
        <w:tc>
          <w:tcPr>
            <w:tcW w:type="dxa" w:w="4535"/>
            <w:vAlign w:val="center"/>
          </w:tcPr>
          <w:p>
            <w:pPr>
              <w:spacing w:before="60" w:after="60"/>
              <w:ind w:firstLine="0"/>
              <w:jc w:val="left"/>
            </w:pPr>
            <w:r>
              <w:rPr>
                <w:b w:val="0"/>
              </w:rPr>
              <w:t>calcBaseFee окремо повертає обмежену базову ціну.</w:t>
            </w:r>
          </w:p>
        </w:tc>
      </w:tr>
      <w:tr>
        <w:trPr>
          <w:cantSplit/>
        </w:trPr>
        <w:tc>
          <w:tcPr>
            <w:tcW w:type="dxa" w:w="1701"/>
            <w:vAlign w:val="center"/>
          </w:tcPr>
          <w:p>
            <w:pPr>
              <w:spacing w:before="60" w:after="60"/>
              <w:ind w:firstLine="0"/>
              <w:jc w:val="center"/>
            </w:pPr>
            <w:r>
              <w:rPr>
                <w:b w:val="0"/>
              </w:rPr>
              <w:t>9dcb104</w:t>
            </w:r>
          </w:p>
        </w:tc>
        <w:tc>
          <w:tcPr>
            <w:tcW w:type="dxa" w:w="3402"/>
            <w:vAlign w:val="center"/>
          </w:tcPr>
          <w:p>
            <w:pPr>
              <w:spacing w:before="60" w:after="60"/>
              <w:ind w:firstLine="0"/>
              <w:jc w:val="left"/>
            </w:pPr>
            <w:r>
              <w:rPr>
                <w:b w:val="0"/>
              </w:rPr>
              <w:t>Нічна знижка в основному калькуляторі</w:t>
            </w:r>
          </w:p>
        </w:tc>
        <w:tc>
          <w:tcPr>
            <w:tcW w:type="dxa" w:w="4535"/>
            <w:vAlign w:val="center"/>
          </w:tcPr>
          <w:p>
            <w:pPr>
              <w:spacing w:before="60" w:after="60"/>
              <w:ind w:firstLine="0"/>
              <w:jc w:val="left"/>
            </w:pPr>
            <w:r>
              <w:rPr>
                <w:b w:val="0"/>
              </w:rPr>
              <w:t>applyRates відокремлює знижки від бази.</w:t>
            </w:r>
          </w:p>
        </w:tc>
      </w:tr>
      <w:tr>
        <w:trPr>
          <w:cantSplit/>
        </w:trPr>
        <w:tc>
          <w:tcPr>
            <w:tcW w:type="dxa" w:w="1701"/>
            <w:vAlign w:val="center"/>
          </w:tcPr>
          <w:p>
            <w:pPr>
              <w:spacing w:before="60" w:after="60"/>
              <w:ind w:firstLine="0"/>
              <w:jc w:val="center"/>
            </w:pPr>
            <w:r>
              <w:rPr>
                <w:b w:val="0"/>
              </w:rPr>
              <w:t>00fc60b</w:t>
            </w:r>
          </w:p>
        </w:tc>
        <w:tc>
          <w:tcPr>
            <w:tcW w:type="dxa" w:w="3402"/>
            <w:vAlign w:val="center"/>
          </w:tcPr>
          <w:p>
            <w:pPr>
              <w:spacing w:before="60" w:after="60"/>
              <w:ind w:firstLine="0"/>
              <w:jc w:val="left"/>
            </w:pPr>
            <w:r>
              <w:rPr>
                <w:b w:val="0"/>
              </w:rPr>
              <w:t>Літерали 3, 10, 4000, 5000 і розгалуження в калькуляторі</w:t>
            </w:r>
          </w:p>
        </w:tc>
        <w:tc>
          <w:tcPr>
            <w:tcW w:type="dxa" w:w="4535"/>
            <w:vAlign w:val="center"/>
          </w:tcPr>
          <w:p>
            <w:pPr>
              <w:spacing w:before="60" w:after="60"/>
              <w:ind w:firstLine="0"/>
              <w:jc w:val="left"/>
            </w:pPr>
            <w:r>
              <w:rPr>
                <w:b w:val="0"/>
              </w:rPr>
              <w:t>Іменовані константи та calcBasePremium локалізують політику віку.</w:t>
            </w:r>
          </w:p>
        </w:tc>
      </w:tr>
      <w:tr>
        <w:trPr>
          <w:cantSplit/>
        </w:trPr>
        <w:tc>
          <w:tcPr>
            <w:tcW w:type="dxa" w:w="1701"/>
            <w:vAlign w:val="center"/>
          </w:tcPr>
          <w:p>
            <w:pPr>
              <w:spacing w:before="60" w:after="60"/>
              <w:ind w:firstLine="0"/>
              <w:jc w:val="center"/>
            </w:pPr>
            <w:r>
              <w:rPr>
                <w:b w:val="0"/>
              </w:rPr>
              <w:t>f6587b0</w:t>
            </w:r>
          </w:p>
        </w:tc>
        <w:tc>
          <w:tcPr>
            <w:tcW w:type="dxa" w:w="3402"/>
            <w:vAlign w:val="center"/>
          </w:tcPr>
          <w:p>
            <w:pPr>
              <w:spacing w:before="60" w:after="60"/>
              <w:ind w:firstLine="0"/>
              <w:jc w:val="left"/>
            </w:pPr>
            <w:r>
              <w:rPr>
                <w:b w:val="0"/>
              </w:rPr>
              <w:t>Умова стажу та множник 1,25 у калькуляторі</w:t>
            </w:r>
          </w:p>
        </w:tc>
        <w:tc>
          <w:tcPr>
            <w:tcW w:type="dxa" w:w="4535"/>
            <w:vAlign w:val="center"/>
          </w:tcPr>
          <w:p>
            <w:pPr>
              <w:spacing w:before="60" w:after="60"/>
              <w:ind w:firstLine="0"/>
              <w:jc w:val="left"/>
            </w:pPr>
            <w:r>
              <w:rPr>
                <w:b w:val="0"/>
              </w:rPr>
              <w:t>applyExperienceSurcharge із константами межі й надбавки.</w:t>
            </w:r>
          </w:p>
        </w:tc>
      </w:tr>
      <w:tr>
        <w:trPr>
          <w:cantSplit/>
        </w:trPr>
        <w:tc>
          <w:tcPr>
            <w:tcW w:type="dxa" w:w="1701"/>
            <w:vAlign w:val="center"/>
          </w:tcPr>
          <w:p>
            <w:pPr>
              <w:spacing w:before="60" w:after="60"/>
              <w:ind w:firstLine="0"/>
              <w:jc w:val="center"/>
            </w:pPr>
            <w:r>
              <w:rPr>
                <w:b w:val="0"/>
              </w:rPr>
              <w:t>dcd4409</w:t>
            </w:r>
          </w:p>
        </w:tc>
        <w:tc>
          <w:tcPr>
            <w:tcW w:type="dxa" w:w="3402"/>
            <w:vAlign w:val="center"/>
          </w:tcPr>
          <w:p>
            <w:pPr>
              <w:spacing w:before="60" w:after="60"/>
              <w:ind w:firstLine="0"/>
              <w:jc w:val="left"/>
            </w:pPr>
            <w:r>
              <w:rPr>
                <w:b w:val="0"/>
              </w:rPr>
              <w:t>Округлення всередині знижки плюс повторне через Number</w:t>
            </w:r>
          </w:p>
        </w:tc>
        <w:tc>
          <w:tcPr>
            <w:tcW w:type="dxa" w:w="4535"/>
            <w:vAlign w:val="center"/>
          </w:tcPr>
          <w:p>
            <w:pPr>
              <w:spacing w:before="60" w:after="60"/>
              <w:ind w:firstLine="0"/>
              <w:jc w:val="left"/>
            </w:pPr>
            <w:r>
              <w:rPr>
                <w:b w:val="0"/>
              </w:rPr>
              <w:t>roundPremium округлює раціональну суму; повторний двійковий крок видалено.</w:t>
            </w:r>
          </w:p>
        </w:tc>
      </w:tr>
    </w:tbl>
    <w:p>
      <w:pPr>
        <w:keepNext/>
      </w:pPr>
      <w:r>
        <w:rPr>
          <w:b w:val="0"/>
        </w:rPr>
        <w:t>Знімок коду з Green третього циклу показує валідацію, після якої основна функція самостійно перевіряла вікові межі. Цей вміст збережено до зміни структури.</w:t>
      </w:r>
    </w:p>
    <w:p>
      <w:pPr>
        <w:keepNext/>
        <w:spacing w:line="240" w:lineRule="auto"/>
        <w:ind w:firstLine="0"/>
        <w:jc w:val="center"/>
      </w:pPr>
      <w:r>
        <w:rPr>
          <w:b w:val="0"/>
        </w:rPr>
      </w:r>
      <w:r>
        <w:drawing>
          <wp:inline xmlns:a="http://schemas.openxmlformats.org/drawingml/2006/main" xmlns:pic="http://schemas.openxmlformats.org/drawingml/2006/picture">
            <wp:extent cx="6120000" cy="4846903"/>
            <wp:docPr id="5" name="Picture 5"/>
            <wp:cNvGraphicFramePr>
              <a:graphicFrameLocks noChangeAspect="1"/>
            </wp:cNvGraphicFramePr>
            <a:graphic>
              <a:graphicData uri="http://schemas.openxmlformats.org/drawingml/2006/picture">
                <pic:pic>
                  <pic:nvPicPr>
                    <pic:cNvPr id="0" name="refactor-before.png"/>
                    <pic:cNvPicPr/>
                  </pic:nvPicPr>
                  <pic:blipFill>
                    <a:blip r:embed="rId15"/>
                    <a:stretch>
                      <a:fillRect/>
                    </a:stretch>
                  </pic:blipFill>
                  <pic:spPr>
                    <a:xfrm>
                      <a:off x="0" y="0"/>
                      <a:ext cx="6120000" cy="4846903"/>
                    </a:xfrm>
                    <a:prstGeom prst="rect"/>
                  </pic:spPr>
                </pic:pic>
              </a:graphicData>
            </a:graphic>
          </wp:inline>
        </w:drawing>
      </w:r>
    </w:p>
    <w:p>
      <w:pPr>
        <w:keepNext w:val="0"/>
        <w:spacing w:after="120"/>
        <w:ind w:firstLine="0"/>
        <w:jc w:val="center"/>
      </w:pPr>
      <w:r>
        <w:rPr>
          <w:b w:val="0"/>
        </w:rPr>
        <w:t>Рисунок 5 – Страховий модуль до виділення базової ціни</w:t>
      </w:r>
    </w:p>
    <w:p>
      <w:pPr>
        <w:keepNext/>
      </w:pPr>
      <w:r>
        <w:rPr>
          <w:b w:val="0"/>
        </w:rPr>
        <w:t>Після рефакторингу calcBasePremium містить ті самі розгалуження, а основна функція викликає його. Усі межі та суми мають назви, тому зміна політики не вимагає пошуку магічних чисел у потоці обчислення.</w:t>
      </w:r>
    </w:p>
    <w:p>
      <w:pPr>
        <w:keepNext/>
        <w:spacing w:line="240" w:lineRule="auto"/>
        <w:ind w:firstLine="0"/>
        <w:jc w:val="center"/>
      </w:pPr>
      <w:r>
        <w:rPr>
          <w:b w:val="0"/>
        </w:rPr>
      </w:r>
      <w:r>
        <w:drawing>
          <wp:inline xmlns:a="http://schemas.openxmlformats.org/drawingml/2006/main" xmlns:pic="http://schemas.openxmlformats.org/drawingml/2006/picture">
            <wp:extent cx="6120000" cy="5806007"/>
            <wp:docPr id="6" name="Picture 6"/>
            <wp:cNvGraphicFramePr>
              <a:graphicFrameLocks noChangeAspect="1"/>
            </wp:cNvGraphicFramePr>
            <a:graphic>
              <a:graphicData uri="http://schemas.openxmlformats.org/drawingml/2006/picture">
                <pic:pic>
                  <pic:nvPicPr>
                    <pic:cNvPr id="0" name="refactor-after.png"/>
                    <pic:cNvPicPr/>
                  </pic:nvPicPr>
                  <pic:blipFill>
                    <a:blip r:embed="rId16"/>
                    <a:stretch>
                      <a:fillRect/>
                    </a:stretch>
                  </pic:blipFill>
                  <pic:spPr>
                    <a:xfrm>
                      <a:off x="0" y="0"/>
                      <a:ext cx="6120000" cy="5806007"/>
                    </a:xfrm>
                    <a:prstGeom prst="rect"/>
                  </pic:spPr>
                </pic:pic>
              </a:graphicData>
            </a:graphic>
          </wp:inline>
        </w:drawing>
      </w:r>
    </w:p>
    <w:p>
      <w:pPr>
        <w:keepNext w:val="0"/>
        <w:spacing w:after="120"/>
        <w:ind w:firstLine="0"/>
        <w:jc w:val="center"/>
      </w:pPr>
      <w:r>
        <w:rPr>
          <w:b w:val="0"/>
        </w:rPr>
        <w:t>Рисунок 6 – Той самий модуль після рефакторингу</w:t>
      </w:r>
    </w:p>
    <w:p>
      <w:pPr>
        <w:pStyle w:val="Heading1"/>
      </w:pPr>
      <w:r>
        <w:t>6 Перевірки та фактичне покриття</w:t>
      </w:r>
    </w:p>
    <w:p>
      <w:pPr>
        <w:keepNext/>
        <w:spacing w:before="120"/>
        <w:ind w:firstLine="0"/>
        <w:jc w:val="center"/>
      </w:pPr>
      <w:r>
        <w:rPr>
          <w:b w:val="0"/>
        </w:rPr>
        <w:t>Таблиця 7 – Підсумкові перевірки</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669"/>
        <w:gridCol w:w="3969"/>
      </w:tblGrid>
      <w:tr>
        <w:trPr>
          <w:cantSplit/>
          <w:tblHeader/>
        </w:trPr>
        <w:tc>
          <w:tcPr>
            <w:tcW w:type="dxa" w:w="5669"/>
            <w:vAlign w:val="center"/>
          </w:tcPr>
          <w:p>
            <w:pPr>
              <w:spacing w:before="60" w:after="60"/>
              <w:ind w:firstLine="0"/>
              <w:jc w:val="center"/>
            </w:pPr>
            <w:r>
              <w:rPr>
                <w:b w:val="0"/>
              </w:rPr>
              <w:t>Команда</w:t>
            </w:r>
          </w:p>
        </w:tc>
        <w:tc>
          <w:tcPr>
            <w:tcW w:type="dxa" w:w="3969"/>
            <w:vAlign w:val="center"/>
          </w:tcPr>
          <w:p>
            <w:pPr>
              <w:spacing w:before="60" w:after="60"/>
              <w:ind w:firstLine="0"/>
              <w:jc w:val="left"/>
            </w:pPr>
            <w:r>
              <w:rPr>
                <w:b w:val="0"/>
              </w:rPr>
              <w:t>Фактичний результат</w:t>
            </w:r>
          </w:p>
        </w:tc>
      </w:tr>
      <w:tr>
        <w:trPr>
          <w:cantSplit/>
        </w:trPr>
        <w:tc>
          <w:tcPr>
            <w:tcW w:type="dxa" w:w="5669"/>
            <w:vAlign w:val="center"/>
          </w:tcPr>
          <w:p>
            <w:pPr>
              <w:spacing w:before="60" w:after="60"/>
              <w:ind w:firstLine="0"/>
              <w:jc w:val="center"/>
            </w:pPr>
            <w:r>
              <w:rPr>
                <w:b w:val="0"/>
              </w:rPr>
              <w:t>npm test -- tests/parking.test.ts</w:t>
            </w:r>
          </w:p>
        </w:tc>
        <w:tc>
          <w:tcPr>
            <w:tcW w:type="dxa" w:w="3969"/>
            <w:vAlign w:val="center"/>
          </w:tcPr>
          <w:p>
            <w:pPr>
              <w:spacing w:before="60" w:after="60"/>
              <w:ind w:firstLine="0"/>
              <w:jc w:val="left"/>
            </w:pPr>
            <w:r>
              <w:rPr>
                <w:b w:val="0"/>
              </w:rPr>
              <w:t>40 тестів пройшли</w:t>
            </w:r>
          </w:p>
        </w:tc>
      </w:tr>
      <w:tr>
        <w:trPr>
          <w:cantSplit/>
        </w:trPr>
        <w:tc>
          <w:tcPr>
            <w:tcW w:type="dxa" w:w="5669"/>
            <w:vAlign w:val="center"/>
          </w:tcPr>
          <w:p>
            <w:pPr>
              <w:spacing w:before="60" w:after="60"/>
              <w:ind w:firstLine="0"/>
              <w:jc w:val="center"/>
            </w:pPr>
            <w:r>
              <w:rPr>
                <w:b w:val="0"/>
              </w:rPr>
              <w:t>npm test -- tests/insurance.test.ts</w:t>
            </w:r>
          </w:p>
        </w:tc>
        <w:tc>
          <w:tcPr>
            <w:tcW w:type="dxa" w:w="3969"/>
            <w:vAlign w:val="center"/>
          </w:tcPr>
          <w:p>
            <w:pPr>
              <w:spacing w:before="60" w:after="60"/>
              <w:ind w:firstLine="0"/>
              <w:jc w:val="left"/>
            </w:pPr>
            <w:r>
              <w:rPr>
                <w:b w:val="0"/>
              </w:rPr>
              <w:t>69 тестів пройшли</w:t>
            </w:r>
          </w:p>
        </w:tc>
      </w:tr>
      <w:tr>
        <w:trPr>
          <w:cantSplit/>
        </w:trPr>
        <w:tc>
          <w:tcPr>
            <w:tcW w:type="dxa" w:w="5669"/>
            <w:vAlign w:val="center"/>
          </w:tcPr>
          <w:p>
            <w:pPr>
              <w:spacing w:before="60" w:after="60"/>
              <w:ind w:firstLine="0"/>
              <w:jc w:val="center"/>
            </w:pPr>
            <w:r>
              <w:rPr>
                <w:b w:val="0"/>
              </w:rPr>
              <w:t>npm test</w:t>
            </w:r>
          </w:p>
        </w:tc>
        <w:tc>
          <w:tcPr>
            <w:tcW w:type="dxa" w:w="3969"/>
            <w:vAlign w:val="center"/>
          </w:tcPr>
          <w:p>
            <w:pPr>
              <w:spacing w:before="60" w:after="60"/>
              <w:ind w:firstLine="0"/>
              <w:jc w:val="left"/>
            </w:pPr>
            <w:r>
              <w:rPr>
                <w:b w:val="0"/>
              </w:rPr>
              <w:t>254 тести, 6 файлів; невдалих 0</w:t>
            </w:r>
          </w:p>
        </w:tc>
      </w:tr>
      <w:tr>
        <w:trPr>
          <w:cantSplit/>
        </w:trPr>
        <w:tc>
          <w:tcPr>
            <w:tcW w:type="dxa" w:w="5669"/>
            <w:vAlign w:val="center"/>
          </w:tcPr>
          <w:p>
            <w:pPr>
              <w:spacing w:before="60" w:after="60"/>
              <w:ind w:firstLine="0"/>
              <w:jc w:val="center"/>
            </w:pPr>
            <w:r>
              <w:rPr>
                <w:b w:val="0"/>
              </w:rPr>
              <w:t>Окремий прогін лабораторних №1 і №2</w:t>
            </w:r>
          </w:p>
        </w:tc>
        <w:tc>
          <w:tcPr>
            <w:tcW w:type="dxa" w:w="3969"/>
            <w:vAlign w:val="center"/>
          </w:tcPr>
          <w:p>
            <w:pPr>
              <w:spacing w:before="60" w:after="60"/>
              <w:ind w:firstLine="0"/>
              <w:jc w:val="left"/>
            </w:pPr>
            <w:r>
              <w:rPr>
                <w:b w:val="0"/>
              </w:rPr>
              <w:t>145 тестів, 4 файли; невдалих 0</w:t>
            </w:r>
          </w:p>
        </w:tc>
      </w:tr>
      <w:tr>
        <w:trPr>
          <w:cantSplit/>
        </w:trPr>
        <w:tc>
          <w:tcPr>
            <w:tcW w:type="dxa" w:w="5669"/>
            <w:vAlign w:val="center"/>
          </w:tcPr>
          <w:p>
            <w:pPr>
              <w:spacing w:before="60" w:after="60"/>
              <w:ind w:firstLine="0"/>
              <w:jc w:val="center"/>
            </w:pPr>
            <w:r>
              <w:rPr>
                <w:b w:val="0"/>
              </w:rPr>
              <w:t>npm run lint</w:t>
            </w:r>
          </w:p>
        </w:tc>
        <w:tc>
          <w:tcPr>
            <w:tcW w:type="dxa" w:w="3969"/>
            <w:vAlign w:val="center"/>
          </w:tcPr>
          <w:p>
            <w:pPr>
              <w:spacing w:before="60" w:after="60"/>
              <w:ind w:firstLine="0"/>
              <w:jc w:val="left"/>
            </w:pPr>
            <w:r>
              <w:rPr>
                <w:b w:val="0"/>
              </w:rPr>
              <w:t>exit 0</w:t>
            </w:r>
          </w:p>
        </w:tc>
      </w:tr>
      <w:tr>
        <w:trPr>
          <w:cantSplit/>
        </w:trPr>
        <w:tc>
          <w:tcPr>
            <w:tcW w:type="dxa" w:w="5669"/>
            <w:vAlign w:val="center"/>
          </w:tcPr>
          <w:p>
            <w:pPr>
              <w:spacing w:before="60" w:after="60"/>
              <w:ind w:firstLine="0"/>
              <w:jc w:val="center"/>
            </w:pPr>
            <w:r>
              <w:rPr>
                <w:b w:val="0"/>
              </w:rPr>
              <w:t>npm run typecheck</w:t>
            </w:r>
          </w:p>
        </w:tc>
        <w:tc>
          <w:tcPr>
            <w:tcW w:type="dxa" w:w="3969"/>
            <w:vAlign w:val="center"/>
          </w:tcPr>
          <w:p>
            <w:pPr>
              <w:spacing w:before="60" w:after="60"/>
              <w:ind w:firstLine="0"/>
              <w:jc w:val="left"/>
            </w:pPr>
            <w:r>
              <w:rPr>
                <w:b w:val="0"/>
              </w:rPr>
              <w:t>exit 0</w:t>
            </w:r>
          </w:p>
        </w:tc>
      </w:tr>
      <w:tr>
        <w:trPr>
          <w:cantSplit/>
        </w:trPr>
        <w:tc>
          <w:tcPr>
            <w:tcW w:type="dxa" w:w="5669"/>
            <w:vAlign w:val="center"/>
          </w:tcPr>
          <w:p>
            <w:pPr>
              <w:spacing w:before="60" w:after="60"/>
              <w:ind w:firstLine="0"/>
              <w:jc w:val="center"/>
            </w:pPr>
            <w:r>
              <w:rPr>
                <w:b w:val="0"/>
              </w:rPr>
              <w:t>npm run format:check</w:t>
            </w:r>
          </w:p>
        </w:tc>
        <w:tc>
          <w:tcPr>
            <w:tcW w:type="dxa" w:w="3969"/>
            <w:vAlign w:val="center"/>
          </w:tcPr>
          <w:p>
            <w:pPr>
              <w:spacing w:before="60" w:after="60"/>
              <w:ind w:firstLine="0"/>
              <w:jc w:val="left"/>
            </w:pPr>
            <w:r>
              <w:rPr>
                <w:b w:val="0"/>
              </w:rPr>
              <w:t>exit 0; усі файли відповідають Prettier</w:t>
            </w:r>
          </w:p>
        </w:tc>
      </w:tr>
      <w:tr>
        <w:trPr>
          <w:cantSplit/>
        </w:trPr>
        <w:tc>
          <w:tcPr>
            <w:tcW w:type="dxa" w:w="5669"/>
            <w:vAlign w:val="center"/>
          </w:tcPr>
          <w:p>
            <w:pPr>
              <w:spacing w:before="60" w:after="60"/>
              <w:ind w:firstLine="0"/>
              <w:jc w:val="center"/>
            </w:pPr>
            <w:r>
              <w:rPr>
                <w:b w:val="0"/>
              </w:rPr>
              <w:t>npm run coverage</w:t>
            </w:r>
          </w:p>
        </w:tc>
        <w:tc>
          <w:tcPr>
            <w:tcW w:type="dxa" w:w="3969"/>
            <w:vAlign w:val="center"/>
          </w:tcPr>
          <w:p>
            <w:pPr>
              <w:spacing w:before="60" w:after="60"/>
              <w:ind w:firstLine="0"/>
              <w:jc w:val="left"/>
            </w:pPr>
            <w:r>
              <w:rPr>
                <w:b w:val="0"/>
              </w:rPr>
              <w:t>exit 0; попередні пороги й окремий поріг страхування пройдено</w:t>
            </w:r>
          </w:p>
        </w:tc>
      </w:tr>
    </w:tbl>
    <w:p>
      <w:pPr>
        <w:keepNext/>
      </w:pPr>
      <w:r>
        <w:rPr>
          <w:b w:val="0"/>
        </w:rPr>
        <w:t>Окремий фінальний прогін паркування підтверджує 40 успішних сценаріїв, включно з межами тривалості, нічним і вихідним тарифами.</w:t>
      </w:r>
    </w:p>
    <w:p>
      <w:pPr>
        <w:keepNext/>
        <w:spacing w:line="240" w:lineRule="auto"/>
        <w:ind w:firstLine="0"/>
        <w:jc w:val="center"/>
      </w:pPr>
      <w:r>
        <w:rPr>
          <w:b w:val="0"/>
        </w:rPr>
      </w:r>
      <w:r>
        <w:drawing>
          <wp:inline xmlns:a="http://schemas.openxmlformats.org/drawingml/2006/main" xmlns:pic="http://schemas.openxmlformats.org/drawingml/2006/picture">
            <wp:extent cx="6120000" cy="2449142"/>
            <wp:docPr id="7" name="Picture 7"/>
            <wp:cNvGraphicFramePr>
              <a:graphicFrameLocks noChangeAspect="1"/>
            </wp:cNvGraphicFramePr>
            <a:graphic>
              <a:graphicData uri="http://schemas.openxmlformats.org/drawingml/2006/picture">
                <pic:pic>
                  <pic:nvPicPr>
                    <pic:cNvPr id="0" name="parking-tests.png"/>
                    <pic:cNvPicPr/>
                  </pic:nvPicPr>
                  <pic:blipFill>
                    <a:blip r:embed="rId17"/>
                    <a:stretch>
                      <a:fillRect/>
                    </a:stretch>
                  </pic:blipFill>
                  <pic:spPr>
                    <a:xfrm>
                      <a:off x="0" y="0"/>
                      <a:ext cx="6120000" cy="2449142"/>
                    </a:xfrm>
                    <a:prstGeom prst="rect"/>
                  </pic:spPr>
                </pic:pic>
              </a:graphicData>
            </a:graphic>
          </wp:inline>
        </w:drawing>
      </w:r>
    </w:p>
    <w:p>
      <w:pPr>
        <w:keepNext w:val="0"/>
        <w:spacing w:after="120"/>
        <w:ind w:firstLine="0"/>
        <w:jc w:val="center"/>
      </w:pPr>
      <w:r>
        <w:rPr>
          <w:b w:val="0"/>
        </w:rPr>
        <w:t>Рисунок 7 – Успішні тести показового модуля</w:t>
      </w:r>
    </w:p>
    <w:p>
      <w:pPr>
        <w:keepNext/>
      </w:pPr>
      <w:r>
        <w:rPr>
          <w:b w:val="0"/>
        </w:rPr>
        <w:t>Окремий фінальний прогін страхування підтверджує 69 успішних тестів: позитивні, негативні, параметризовані, межові та комбіновані сценарії.</w:t>
      </w:r>
    </w:p>
    <w:p>
      <w:pPr>
        <w:keepNext/>
        <w:spacing w:line="240" w:lineRule="auto"/>
        <w:ind w:firstLine="0"/>
        <w:jc w:val="center"/>
      </w:pPr>
      <w:r>
        <w:rPr>
          <w:b w:val="0"/>
        </w:rPr>
      </w:r>
      <w:r>
        <w:drawing>
          <wp:inline xmlns:a="http://schemas.openxmlformats.org/drawingml/2006/main" xmlns:pic="http://schemas.openxmlformats.org/drawingml/2006/picture">
            <wp:extent cx="6120000" cy="2449142"/>
            <wp:docPr id="8" name="Picture 8"/>
            <wp:cNvGraphicFramePr>
              <a:graphicFrameLocks noChangeAspect="1"/>
            </wp:cNvGraphicFramePr>
            <a:graphic>
              <a:graphicData uri="http://schemas.openxmlformats.org/drawingml/2006/picture">
                <pic:pic>
                  <pic:nvPicPr>
                    <pic:cNvPr id="0" name="insurance-tests.png"/>
                    <pic:cNvPicPr/>
                  </pic:nvPicPr>
                  <pic:blipFill>
                    <a:blip r:embed="rId18"/>
                    <a:stretch>
                      <a:fillRect/>
                    </a:stretch>
                  </pic:blipFill>
                  <pic:spPr>
                    <a:xfrm>
                      <a:off x="0" y="0"/>
                      <a:ext cx="6120000" cy="2449142"/>
                    </a:xfrm>
                    <a:prstGeom prst="rect"/>
                  </pic:spPr>
                </pic:pic>
              </a:graphicData>
            </a:graphic>
          </wp:inline>
        </w:drawing>
      </w:r>
    </w:p>
    <w:p>
      <w:pPr>
        <w:keepNext w:val="0"/>
        <w:spacing w:after="120"/>
        <w:ind w:firstLine="0"/>
        <w:jc w:val="center"/>
      </w:pPr>
      <w:r>
        <w:rPr>
          <w:b w:val="0"/>
        </w:rPr>
        <w:t>Рисунок 8 – Успішні тести варіанта №12</w:t>
      </w:r>
    </w:p>
    <w:p>
      <w:pPr>
        <w:keepNext/>
      </w:pPr>
      <w:r>
        <w:rPr>
          <w:b w:val="0"/>
        </w:rPr>
        <w:t>Повний прогін містить обидва нові модулі й попередні лабораторні. Усі 254 тести в шести файлах успішні.</w:t>
      </w:r>
    </w:p>
    <w:p>
      <w:pPr>
        <w:keepNext/>
        <w:spacing w:line="240" w:lineRule="auto"/>
        <w:ind w:firstLine="0"/>
        <w:jc w:val="center"/>
      </w:pPr>
      <w:r>
        <w:rPr>
          <w:b w:val="0"/>
        </w:rPr>
      </w:r>
      <w:r>
        <w:drawing>
          <wp:inline xmlns:a="http://schemas.openxmlformats.org/drawingml/2006/main" xmlns:pic="http://schemas.openxmlformats.org/drawingml/2006/picture">
            <wp:extent cx="6120000" cy="2449142"/>
            <wp:docPr id="9" name="Picture 9"/>
            <wp:cNvGraphicFramePr>
              <a:graphicFrameLocks noChangeAspect="1"/>
            </wp:cNvGraphicFramePr>
            <a:graphic>
              <a:graphicData uri="http://schemas.openxmlformats.org/drawingml/2006/picture">
                <pic:pic>
                  <pic:nvPicPr>
                    <pic:cNvPr id="0" name="full-tests.png"/>
                    <pic:cNvPicPr/>
                  </pic:nvPicPr>
                  <pic:blipFill>
                    <a:blip r:embed="rId19"/>
                    <a:stretch>
                      <a:fillRect/>
                    </a:stretch>
                  </pic:blipFill>
                  <pic:spPr>
                    <a:xfrm>
                      <a:off x="0" y="0"/>
                      <a:ext cx="6120000" cy="2449142"/>
                    </a:xfrm>
                    <a:prstGeom prst="rect"/>
                  </pic:spPr>
                </pic:pic>
              </a:graphicData>
            </a:graphic>
          </wp:inline>
        </w:drawing>
      </w:r>
    </w:p>
    <w:p>
      <w:pPr>
        <w:keepNext w:val="0"/>
        <w:spacing w:after="120"/>
        <w:ind w:firstLine="0"/>
        <w:jc w:val="center"/>
      </w:pPr>
      <w:r>
        <w:rPr>
          <w:b w:val="0"/>
        </w:rPr>
        <w:t>Рисунок 9 – Повний регресійний набір</w:t>
      </w:r>
    </w:p>
    <w:p>
      <w:pPr>
        <w:keepNext/>
      </w:pPr>
      <w:r>
        <w:rPr>
          <w:b w:val="0"/>
        </w:rPr>
        <w:t>Playwright відкрив справжній HTML-звіт coverage/index.html. Таблиця показує Statements, Branches, Functions і Lines для всіх п’яти модулів; це не відтворена вручну таблиця.</w:t>
      </w:r>
    </w:p>
    <w:p>
      <w:pPr>
        <w:keepNext/>
        <w:spacing w:line="240" w:lineRule="auto"/>
        <w:ind w:firstLine="0"/>
        <w:jc w:val="center"/>
      </w:pPr>
      <w:r>
        <w:rPr>
          <w:b w:val="0"/>
        </w:rPr>
      </w:r>
      <w:r>
        <w:drawing>
          <wp:inline xmlns:a="http://schemas.openxmlformats.org/drawingml/2006/main" xmlns:pic="http://schemas.openxmlformats.org/drawingml/2006/picture">
            <wp:extent cx="6120000" cy="2256750"/>
            <wp:docPr id="10" name="Picture 10"/>
            <wp:cNvGraphicFramePr>
              <a:graphicFrameLocks noChangeAspect="1"/>
            </wp:cNvGraphicFramePr>
            <a:graphic>
              <a:graphicData uri="http://schemas.openxmlformats.org/drawingml/2006/picture">
                <pic:pic>
                  <pic:nvPicPr>
                    <pic:cNvPr id="0" name="coverage-summary.png"/>
                    <pic:cNvPicPr/>
                  </pic:nvPicPr>
                  <pic:blipFill>
                    <a:blip r:embed="rId20"/>
                    <a:stretch>
                      <a:fillRect/>
                    </a:stretch>
                  </pic:blipFill>
                  <pic:spPr>
                    <a:xfrm>
                      <a:off x="0" y="0"/>
                      <a:ext cx="6120000" cy="2256750"/>
                    </a:xfrm>
                    <a:prstGeom prst="rect"/>
                  </pic:spPr>
                </pic:pic>
              </a:graphicData>
            </a:graphic>
          </wp:inline>
        </w:drawing>
      </w:r>
    </w:p>
    <w:p>
      <w:pPr>
        <w:keepNext w:val="0"/>
        <w:spacing w:after="120"/>
        <w:ind w:firstLine="0"/>
        <w:jc w:val="center"/>
      </w:pPr>
      <w:r>
        <w:rPr>
          <w:b w:val="0"/>
        </w:rPr>
        <w:t>Рисунок 10 – Загальна таблиця фактичного V8-покриття</w:t>
      </w:r>
    </w:p>
    <w:p>
      <w:pPr>
        <w:keepNext/>
      </w:pPr>
      <w:r>
        <w:rPr>
          <w:b w:val="0"/>
        </w:rPr>
        <w:t>Детальна сторінка coverage/insurance.ts.html показує 100% і 23/23 гілки страхування. Повний знімок сторінки зі всім кодом збережено окремо в insurance-branch-coverage.png.</w:t>
      </w:r>
    </w:p>
    <w:p>
      <w:pPr>
        <w:keepNext/>
        <w:spacing w:line="240" w:lineRule="auto"/>
        <w:ind w:firstLine="0"/>
        <w:jc w:val="center"/>
      </w:pPr>
      <w:r>
        <w:rPr>
          <w:b w:val="0"/>
        </w:rPr>
      </w:r>
      <w:r>
        <w:drawing>
          <wp:inline xmlns:a="http://schemas.openxmlformats.org/drawingml/2006/main" xmlns:pic="http://schemas.openxmlformats.org/drawingml/2006/picture">
            <wp:extent cx="6048000" cy="4320000"/>
            <wp:docPr id="11" name="Picture 11"/>
            <wp:cNvGraphicFramePr>
              <a:graphicFrameLocks noChangeAspect="1"/>
            </wp:cNvGraphicFramePr>
            <a:graphic>
              <a:graphicData uri="http://schemas.openxmlformats.org/drawingml/2006/picture">
                <pic:pic>
                  <pic:nvPicPr>
                    <pic:cNvPr id="0" name="insurance-branch-coverage-top.png"/>
                    <pic:cNvPicPr/>
                  </pic:nvPicPr>
                  <pic:blipFill>
                    <a:blip r:embed="rId21"/>
                    <a:stretch>
                      <a:fillRect/>
                    </a:stretch>
                  </pic:blipFill>
                  <pic:spPr>
                    <a:xfrm>
                      <a:off x="0" y="0"/>
                      <a:ext cx="6048000" cy="4320000"/>
                    </a:xfrm>
                    <a:prstGeom prst="rect"/>
                  </pic:spPr>
                </pic:pic>
              </a:graphicData>
            </a:graphic>
          </wp:inline>
        </w:drawing>
      </w:r>
    </w:p>
    <w:p>
      <w:pPr>
        <w:keepNext w:val="0"/>
        <w:spacing w:after="120"/>
        <w:ind w:firstLine="0"/>
        <w:jc w:val="center"/>
      </w:pPr>
      <w:r>
        <w:rPr>
          <w:b w:val="0"/>
        </w:rPr>
        <w:t>Рисунок 11 – Детальна сторінка покриття страхового модуля</w:t>
      </w:r>
    </w:p>
    <w:p>
      <w:pPr>
        <w:keepNext/>
        <w:spacing w:before="120"/>
        <w:ind w:firstLine="0"/>
        <w:jc w:val="center"/>
      </w:pPr>
      <w:r>
        <w:rPr>
          <w:b w:val="0"/>
        </w:rPr>
        <w:t>Таблиця 8 – Чисельники і знаменники покриття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1843"/>
        <w:gridCol w:w="1843"/>
        <w:gridCol w:w="1843"/>
        <w:gridCol w:w="1843"/>
      </w:tblGrid>
      <w:tr>
        <w:trPr>
          <w:cantSplit/>
          <w:tblHeader/>
        </w:trPr>
        <w:tc>
          <w:tcPr>
            <w:tcW w:type="dxa" w:w="2268"/>
            <w:vAlign w:val="center"/>
          </w:tcPr>
          <w:p>
            <w:pPr>
              <w:spacing w:before="60" w:after="60"/>
              <w:ind w:firstLine="0"/>
              <w:jc w:val="center"/>
            </w:pPr>
            <w:r>
              <w:rPr>
                <w:b w:val="0"/>
              </w:rPr>
              <w:t>Обсяг</w:t>
            </w:r>
          </w:p>
        </w:tc>
        <w:tc>
          <w:tcPr>
            <w:tcW w:type="dxa" w:w="1843"/>
            <w:vAlign w:val="center"/>
          </w:tcPr>
          <w:p>
            <w:pPr>
              <w:spacing w:before="60" w:after="60"/>
              <w:ind w:firstLine="0"/>
              <w:jc w:val="left"/>
            </w:pPr>
            <w:r>
              <w:rPr>
                <w:b w:val="0"/>
              </w:rPr>
              <w:t>Statements</w:t>
            </w:r>
          </w:p>
        </w:tc>
        <w:tc>
          <w:tcPr>
            <w:tcW w:type="dxa" w:w="1843"/>
            <w:vAlign w:val="center"/>
          </w:tcPr>
          <w:p>
            <w:pPr>
              <w:spacing w:before="60" w:after="60"/>
              <w:ind w:firstLine="0"/>
              <w:jc w:val="left"/>
            </w:pPr>
            <w:r>
              <w:rPr>
                <w:b w:val="0"/>
              </w:rPr>
              <w:t>Branches</w:t>
            </w:r>
          </w:p>
        </w:tc>
        <w:tc>
          <w:tcPr>
            <w:tcW w:type="dxa" w:w="1843"/>
            <w:vAlign w:val="center"/>
          </w:tcPr>
          <w:p>
            <w:pPr>
              <w:spacing w:before="60" w:after="60"/>
              <w:ind w:firstLine="0"/>
              <w:jc w:val="left"/>
            </w:pPr>
            <w:r>
              <w:rPr>
                <w:b w:val="0"/>
              </w:rPr>
              <w:t>Functions</w:t>
            </w:r>
          </w:p>
        </w:tc>
        <w:tc>
          <w:tcPr>
            <w:tcW w:type="dxa" w:w="1843"/>
            <w:vAlign w:val="center"/>
          </w:tcPr>
          <w:p>
            <w:pPr>
              <w:spacing w:before="60" w:after="60"/>
              <w:ind w:firstLine="0"/>
              <w:jc w:val="left"/>
            </w:pPr>
            <w:r>
              <w:rPr>
                <w:b w:val="0"/>
              </w:rPr>
              <w:t>Lines</w:t>
            </w:r>
          </w:p>
        </w:tc>
      </w:tr>
      <w:tr>
        <w:trPr>
          <w:cantSplit/>
        </w:trPr>
        <w:tc>
          <w:tcPr>
            <w:tcW w:type="dxa" w:w="2268"/>
            <w:vAlign w:val="center"/>
          </w:tcPr>
          <w:p>
            <w:pPr>
              <w:spacing w:before="60" w:after="60"/>
              <w:ind w:firstLine="0"/>
              <w:jc w:val="center"/>
            </w:pPr>
            <w:r>
              <w:rPr>
                <w:b w:val="0"/>
              </w:rPr>
              <w:t>Паркування</w:t>
            </w:r>
          </w:p>
        </w:tc>
        <w:tc>
          <w:tcPr>
            <w:tcW w:type="dxa" w:w="1843"/>
            <w:vAlign w:val="center"/>
          </w:tcPr>
          <w:p>
            <w:pPr>
              <w:spacing w:before="60" w:after="60"/>
              <w:ind w:firstLine="0"/>
              <w:jc w:val="left"/>
            </w:pPr>
            <w:r>
              <w:rPr>
                <w:b w:val="0"/>
              </w:rPr>
              <w:t>25/25</w:t>
            </w:r>
          </w:p>
        </w:tc>
        <w:tc>
          <w:tcPr>
            <w:tcW w:type="dxa" w:w="1843"/>
            <w:vAlign w:val="center"/>
          </w:tcPr>
          <w:p>
            <w:pPr>
              <w:spacing w:before="60" w:after="60"/>
              <w:ind w:firstLine="0"/>
              <w:jc w:val="left"/>
            </w:pPr>
            <w:r>
              <w:rPr>
                <w:b w:val="0"/>
              </w:rPr>
              <w:t>13/13</w:t>
            </w:r>
          </w:p>
        </w:tc>
        <w:tc>
          <w:tcPr>
            <w:tcW w:type="dxa" w:w="1843"/>
            <w:vAlign w:val="center"/>
          </w:tcPr>
          <w:p>
            <w:pPr>
              <w:spacing w:before="60" w:after="60"/>
              <w:ind w:firstLine="0"/>
              <w:jc w:val="left"/>
            </w:pPr>
            <w:r>
              <w:rPr>
                <w:b w:val="0"/>
              </w:rPr>
              <w:t>5/5</w:t>
            </w:r>
          </w:p>
        </w:tc>
        <w:tc>
          <w:tcPr>
            <w:tcW w:type="dxa" w:w="1843"/>
            <w:vAlign w:val="center"/>
          </w:tcPr>
          <w:p>
            <w:pPr>
              <w:spacing w:before="60" w:after="60"/>
              <w:ind w:firstLine="0"/>
              <w:jc w:val="left"/>
            </w:pPr>
            <w:r>
              <w:rPr>
                <w:b w:val="0"/>
              </w:rPr>
              <w:t>21/21</w:t>
            </w:r>
          </w:p>
        </w:tc>
      </w:tr>
      <w:tr>
        <w:trPr>
          <w:cantSplit/>
        </w:trPr>
        <w:tc>
          <w:tcPr>
            <w:tcW w:type="dxa" w:w="2268"/>
            <w:vAlign w:val="center"/>
          </w:tcPr>
          <w:p>
            <w:pPr>
              <w:spacing w:before="60" w:after="60"/>
              <w:ind w:firstLine="0"/>
              <w:jc w:val="center"/>
            </w:pPr>
            <w:r>
              <w:rPr>
                <w:b w:val="0"/>
              </w:rPr>
              <w:t>Страхування</w:t>
            </w:r>
          </w:p>
        </w:tc>
        <w:tc>
          <w:tcPr>
            <w:tcW w:type="dxa" w:w="1843"/>
            <w:vAlign w:val="center"/>
          </w:tcPr>
          <w:p>
            <w:pPr>
              <w:spacing w:before="60" w:after="60"/>
              <w:ind w:firstLine="0"/>
              <w:jc w:val="left"/>
            </w:pPr>
            <w:r>
              <w:rPr>
                <w:b w:val="0"/>
              </w:rPr>
              <w:t>36/36</w:t>
            </w:r>
          </w:p>
        </w:tc>
        <w:tc>
          <w:tcPr>
            <w:tcW w:type="dxa" w:w="1843"/>
            <w:vAlign w:val="center"/>
          </w:tcPr>
          <w:p>
            <w:pPr>
              <w:spacing w:before="60" w:after="60"/>
              <w:ind w:firstLine="0"/>
              <w:jc w:val="left"/>
            </w:pPr>
            <w:r>
              <w:rPr>
                <w:b w:val="0"/>
              </w:rPr>
              <w:t>23/23</w:t>
            </w:r>
          </w:p>
        </w:tc>
        <w:tc>
          <w:tcPr>
            <w:tcW w:type="dxa" w:w="1843"/>
            <w:vAlign w:val="center"/>
          </w:tcPr>
          <w:p>
            <w:pPr>
              <w:spacing w:before="60" w:after="60"/>
              <w:ind w:firstLine="0"/>
              <w:jc w:val="left"/>
            </w:pPr>
            <w:r>
              <w:rPr>
                <w:b w:val="0"/>
              </w:rPr>
              <w:t>6/6</w:t>
            </w:r>
          </w:p>
        </w:tc>
        <w:tc>
          <w:tcPr>
            <w:tcW w:type="dxa" w:w="1843"/>
            <w:vAlign w:val="center"/>
          </w:tcPr>
          <w:p>
            <w:pPr>
              <w:spacing w:before="60" w:after="60"/>
              <w:ind w:firstLine="0"/>
              <w:jc w:val="left"/>
            </w:pPr>
            <w:r>
              <w:rPr>
                <w:b w:val="0"/>
              </w:rPr>
              <w:t>34/34</w:t>
            </w:r>
          </w:p>
        </w:tc>
      </w:tr>
      <w:tr>
        <w:trPr>
          <w:cantSplit/>
        </w:trPr>
        <w:tc>
          <w:tcPr>
            <w:tcW w:type="dxa" w:w="2268"/>
            <w:vAlign w:val="center"/>
          </w:tcPr>
          <w:p>
            <w:pPr>
              <w:spacing w:before="60" w:after="60"/>
              <w:ind w:firstLine="0"/>
              <w:jc w:val="center"/>
            </w:pPr>
            <w:r>
              <w:rPr>
                <w:b w:val="0"/>
              </w:rPr>
              <w:t>Увесь проєкт</w:t>
            </w:r>
          </w:p>
        </w:tc>
        <w:tc>
          <w:tcPr>
            <w:tcW w:type="dxa" w:w="1843"/>
            <w:vAlign w:val="center"/>
          </w:tcPr>
          <w:p>
            <w:pPr>
              <w:spacing w:before="60" w:after="60"/>
              <w:ind w:firstLine="0"/>
              <w:jc w:val="left"/>
            </w:pPr>
            <w:r>
              <w:rPr>
                <w:b w:val="0"/>
              </w:rPr>
              <w:t>123/123</w:t>
            </w:r>
          </w:p>
        </w:tc>
        <w:tc>
          <w:tcPr>
            <w:tcW w:type="dxa" w:w="1843"/>
            <w:vAlign w:val="center"/>
          </w:tcPr>
          <w:p>
            <w:pPr>
              <w:spacing w:before="60" w:after="60"/>
              <w:ind w:firstLine="0"/>
              <w:jc w:val="left"/>
            </w:pPr>
            <w:r>
              <w:rPr>
                <w:b w:val="0"/>
              </w:rPr>
              <w:t>72/72</w:t>
            </w:r>
          </w:p>
        </w:tc>
        <w:tc>
          <w:tcPr>
            <w:tcW w:type="dxa" w:w="1843"/>
            <w:vAlign w:val="center"/>
          </w:tcPr>
          <w:p>
            <w:pPr>
              <w:spacing w:before="60" w:after="60"/>
              <w:ind w:firstLine="0"/>
              <w:jc w:val="left"/>
            </w:pPr>
            <w:r>
              <w:rPr>
                <w:b w:val="0"/>
              </w:rPr>
              <w:t>23/23</w:t>
            </w:r>
          </w:p>
        </w:tc>
        <w:tc>
          <w:tcPr>
            <w:tcW w:type="dxa" w:w="1843"/>
            <w:vAlign w:val="center"/>
          </w:tcPr>
          <w:p>
            <w:pPr>
              <w:spacing w:before="60" w:after="60"/>
              <w:ind w:firstLine="0"/>
              <w:jc w:val="left"/>
            </w:pPr>
            <w:r>
              <w:rPr>
                <w:b w:val="0"/>
              </w:rPr>
              <w:t>112/112</w:t>
            </w:r>
          </w:p>
        </w:tc>
      </w:tr>
    </w:tbl>
    <w:p>
      <w:pPr>
        <w:keepNext w:val="0"/>
      </w:pPr>
      <w:r>
        <w:rPr>
          <w:b w:val="0"/>
        </w:rPr>
        <w:t>Для кожного показника таблиці отримано 100%. Vitest перевіряє branches ≥90% для src/insurance.ts, а scripts/check-insurance-coverage.mjs незалежно перевіряє лічильники 23/23 у JSON-звіті. Збережено попередні глобальні пороги: Lines ≥80%, Branches ≥80%, Functions 100%, а також окрему перевірку calcInstallment ≥90%.</w:t>
      </w:r>
    </w:p>
    <w:p>
      <w:pPr>
        <w:keepNext/>
      </w:pPr>
      <w:r>
        <w:rPr>
          <w:b w:val="0"/>
        </w:rPr>
        <w:t>Перевірка ESLint завершилася з exit 0 без діагностик. Команду та оригінальний вивід збережено поряд зі знімком.</w:t>
      </w:r>
    </w:p>
    <w:p>
      <w:pPr>
        <w:keepNext/>
        <w:spacing w:line="240" w:lineRule="auto"/>
        <w:ind w:firstLine="0"/>
        <w:jc w:val="center"/>
      </w:pPr>
      <w:r>
        <w:rPr>
          <w:b w:val="0"/>
        </w:rPr>
      </w:r>
      <w:r>
        <w:drawing>
          <wp:inline xmlns:a="http://schemas.openxmlformats.org/drawingml/2006/main" xmlns:pic="http://schemas.openxmlformats.org/drawingml/2006/picture">
            <wp:extent cx="6120000" cy="1370149"/>
            <wp:docPr id="12" name="Picture 12"/>
            <wp:cNvGraphicFramePr>
              <a:graphicFrameLocks noChangeAspect="1"/>
            </wp:cNvGraphicFramePr>
            <a:graphic>
              <a:graphicData uri="http://schemas.openxmlformats.org/drawingml/2006/picture">
                <pic:pic>
                  <pic:nvPicPr>
                    <pic:cNvPr id="0" name="eslint.png"/>
                    <pic:cNvPicPr/>
                  </pic:nvPicPr>
                  <pic:blipFill>
                    <a:blip r:embed="rId22"/>
                    <a:stretch>
                      <a:fillRect/>
                    </a:stretch>
                  </pic:blipFill>
                  <pic:spPr>
                    <a:xfrm>
                      <a:off x="0" y="0"/>
                      <a:ext cx="6120000" cy="1370149"/>
                    </a:xfrm>
                    <a:prstGeom prst="rect"/>
                  </pic:spPr>
                </pic:pic>
              </a:graphicData>
            </a:graphic>
          </wp:inline>
        </w:drawing>
      </w:r>
    </w:p>
    <w:p>
      <w:pPr>
        <w:keepNext w:val="0"/>
        <w:spacing w:after="120"/>
        <w:ind w:firstLine="0"/>
        <w:jc w:val="center"/>
      </w:pPr>
      <w:r>
        <w:rPr>
          <w:b w:val="0"/>
        </w:rPr>
        <w:t>Рисунок 12 – Успішна перевірка ESLint</w:t>
      </w:r>
    </w:p>
    <w:p>
      <w:pPr>
        <w:keepNext/>
      </w:pPr>
      <w:r>
        <w:rPr>
          <w:b w:val="0"/>
        </w:rPr>
        <w:t>TypeScript виконав tsc --noEmit без помилок. Публічні сигнатури й тести перевірено за чинним strict-конфігом репозиторію.</w:t>
      </w:r>
    </w:p>
    <w:p>
      <w:pPr>
        <w:keepNext/>
        <w:spacing w:line="240" w:lineRule="auto"/>
        <w:ind w:firstLine="0"/>
        <w:jc w:val="center"/>
      </w:pPr>
      <w:r>
        <w:rPr>
          <w:b w:val="0"/>
        </w:rPr>
      </w:r>
      <w:r>
        <w:drawing>
          <wp:inline xmlns:a="http://schemas.openxmlformats.org/drawingml/2006/main" xmlns:pic="http://schemas.openxmlformats.org/drawingml/2006/picture">
            <wp:extent cx="6120000" cy="1370149"/>
            <wp:docPr id="13" name="Picture 13"/>
            <wp:cNvGraphicFramePr>
              <a:graphicFrameLocks noChangeAspect="1"/>
            </wp:cNvGraphicFramePr>
            <a:graphic>
              <a:graphicData uri="http://schemas.openxmlformats.org/drawingml/2006/picture">
                <pic:pic>
                  <pic:nvPicPr>
                    <pic:cNvPr id="0" name="typecheck.png"/>
                    <pic:cNvPicPr/>
                  </pic:nvPicPr>
                  <pic:blipFill>
                    <a:blip r:embed="rId23"/>
                    <a:stretch>
                      <a:fillRect/>
                    </a:stretch>
                  </pic:blipFill>
                  <pic:spPr>
                    <a:xfrm>
                      <a:off x="0" y="0"/>
                      <a:ext cx="6120000" cy="1370149"/>
                    </a:xfrm>
                    <a:prstGeom prst="rect"/>
                  </pic:spPr>
                </pic:pic>
              </a:graphicData>
            </a:graphic>
          </wp:inline>
        </w:drawing>
      </w:r>
    </w:p>
    <w:p>
      <w:pPr>
        <w:keepNext w:val="0"/>
        <w:spacing w:after="120"/>
        <w:ind w:firstLine="0"/>
        <w:jc w:val="center"/>
      </w:pPr>
      <w:r>
        <w:rPr>
          <w:b w:val="0"/>
        </w:rPr>
        <w:t>Рисунок 13 – Успішна перевірка TypeScript</w:t>
      </w:r>
    </w:p>
    <w:p>
      <w:pPr>
        <w:keepNext/>
      </w:pPr>
      <w:r>
        <w:rPr>
          <w:b w:val="0"/>
        </w:rPr>
        <w:t>Перевірка Prettier підтвердила форматування всіх охоплених файлів. Форматувальник і його конфігурацію з попередніх робіт збережено.</w:t>
      </w:r>
    </w:p>
    <w:p>
      <w:pPr>
        <w:keepNext/>
        <w:spacing w:line="240" w:lineRule="auto"/>
        <w:ind w:firstLine="0"/>
        <w:jc w:val="center"/>
      </w:pPr>
      <w:r>
        <w:rPr>
          <w:b w:val="0"/>
        </w:rPr>
      </w:r>
      <w:r>
        <w:drawing>
          <wp:inline xmlns:a="http://schemas.openxmlformats.org/drawingml/2006/main" xmlns:pic="http://schemas.openxmlformats.org/drawingml/2006/picture">
            <wp:extent cx="6120000" cy="1729813"/>
            <wp:docPr id="14" name="Picture 14"/>
            <wp:cNvGraphicFramePr>
              <a:graphicFrameLocks noChangeAspect="1"/>
            </wp:cNvGraphicFramePr>
            <a:graphic>
              <a:graphicData uri="http://schemas.openxmlformats.org/drawingml/2006/picture">
                <pic:pic>
                  <pic:nvPicPr>
                    <pic:cNvPr id="0" name="formatting.png"/>
                    <pic:cNvPicPr/>
                  </pic:nvPicPr>
                  <pic:blipFill>
                    <a:blip r:embed="rId24"/>
                    <a:stretch>
                      <a:fillRect/>
                    </a:stretch>
                  </pic:blipFill>
                  <pic:spPr>
                    <a:xfrm>
                      <a:off x="0" y="0"/>
                      <a:ext cx="6120000" cy="1729813"/>
                    </a:xfrm>
                    <a:prstGeom prst="rect"/>
                  </pic:spPr>
                </pic:pic>
              </a:graphicData>
            </a:graphic>
          </wp:inline>
        </w:drawing>
      </w:r>
    </w:p>
    <w:p>
      <w:pPr>
        <w:keepNext w:val="0"/>
        <w:spacing w:after="120"/>
        <w:ind w:firstLine="0"/>
        <w:jc w:val="center"/>
      </w:pPr>
      <w:r>
        <w:rPr>
          <w:b w:val="0"/>
        </w:rPr>
        <w:t>Рисунок 14 – Успішна перевірка форматування</w:t>
      </w:r>
    </w:p>
    <w:p>
      <w:pPr>
        <w:keepNext w:val="0"/>
      </w:pPr>
      <w:r>
        <w:rPr>
          <w:b w:val="0"/>
        </w:rPr>
        <w:t>Усі PNG створено автоматично через Playwright та Chrome. Для процесів використано чітко позначений execution-log viewer; DOM-текст перевірено на точний збіг із stdout, після якого йде stderr. Оригінальні потоки збережено окремо, разом із командою, часом, кодом завершення та знімками коду. Жодного результату тестування або інтерфейсу термінала не домальовано.</w:t>
      </w:r>
    </w:p>
    <w:p>
      <w:pPr>
        <w:pStyle w:val="Heading1"/>
      </w:pPr>
      <w:r>
        <w:t>7 Аналіз результату за кроком 9</w:t>
      </w:r>
    </w:p>
    <w:p>
      <w:pPr>
        <w:pStyle w:val="Heading2"/>
      </w:pPr>
      <w:r>
        <w:t>7.1 Кількість рядків та непокритий код</w:t>
      </w:r>
    </w:p>
    <w:p>
      <w:pPr>
        <w:keepNext w:val="0"/>
      </w:pPr>
      <w:r>
        <w:rPr>
          <w:b w:val="0"/>
        </w:rPr>
        <w:t>Новий продуктовий код містить 135 фізичних рядків: parking.ts – 45, insurance.ts – 90. Без порожніх рядків – 122: відповідно 39 і 83. V8 враховує 55 виконуваних рядків: 21 і 34. Усі вони покриті, непокритих виконуваних рядків – 0. Фізичні рядки включають типи, константи, дужки та коментарі, тому їх не слід ототожнювати зі знаменником Lines у V8.</w:t>
      </w:r>
    </w:p>
    <w:p>
      <w:pPr>
        <w:pStyle w:val="Heading2"/>
      </w:pPr>
      <w:r>
        <w:t>7.2 Покриття гілок і додаткові тести</w:t>
      </w:r>
    </w:p>
    <w:p>
      <w:pPr>
        <w:keepNext w:val="0"/>
      </w:pPr>
      <w:r>
        <w:rPr>
          <w:b w:val="0"/>
        </w:rPr>
        <w:t>Страхування має 23/23 покриті гілки, тобто 100% за порога 90%; паркування – 13/13; весь проєкт – 72/72. Уже перший фінальний вимір після циклів показав 100%, тому додаткові тести лише для досягнення порога не знадобилися. Восьмий страховий цикл додано через реальну похибку округлення, а не для збільшення метрики. Покриття підтверджує виконання гілок, але правильність чисел забезпечують незалежні очікування.</w:t>
      </w:r>
    </w:p>
    <w:p>
      <w:pPr>
        <w:pStyle w:val="Heading2"/>
      </w:pPr>
      <w:r>
        <w:t>7.3 Кроки Refactor і стабільність тестів</w:t>
      </w:r>
    </w:p>
    <w:p>
      <w:pPr>
        <w:keepNext w:val="0"/>
      </w:pPr>
      <w:r>
        <w:rPr>
          <w:b w:val="0"/>
        </w:rPr>
        <w:t>Виконано 16 кроків Refactor: 8 у паркуванні та 8 у страхуванні. У кожному після змін запускався повний наявний набір, і всі 16 запусків завершилися з exit 0. Під час цих рефакторингів тести не ламалися. У Red очікувано падали перевірки ще відсутньої поведінки; це не невдачі рефакторингу.</w:t>
      </w:r>
    </w:p>
    <w:p>
      <w:pPr>
        <w:pStyle w:val="Heading2"/>
      </w:pPr>
      <w:r>
        <w:t>7.4 Спокуса реалізувати майбутні вимоги</w:t>
      </w:r>
    </w:p>
    <w:p>
      <w:pPr>
        <w:keepNext w:val="0"/>
      </w:pPr>
      <w:r>
        <w:rPr>
          <w:b w:val="0"/>
        </w:rPr>
        <w:t>Місцями для передчасного узагальнення були перша базова ціна та застосування знижки. Після вимоги 3000 грн було легко одразу додати всі вікові категорії, а після першої знижки – одразу межу 30%. Фактичні Green-коміти цього не роблять: 0365113 повертає лише початкову ціну, а 2efe14c ще не обмежує відсоток. Майбутню поведінку додано тільки після наступного Red. Це зберегло перевірювану причину кожної зміни.</w:t>
      </w:r>
    </w:p>
    <w:p>
      <w:pPr>
        <w:pStyle w:val="Heading2"/>
      </w:pPr>
      <w:r>
        <w:t>7.5 Вплив TDD на дизайн страхування</w:t>
      </w:r>
    </w:p>
    <w:p>
      <w:pPr>
        <w:keepNext w:val="0"/>
      </w:pPr>
      <w:r>
        <w:rPr>
          <w:b w:val="0"/>
        </w:rPr>
        <w:t>Окремі тести валідації привели до assertValidInput; тести вікових меж – до calcBasePremium; взаємодія стажу й знижки – до послідовного застосування правил. Регресія 0,0075% показала, що фінансовий контракт не можна покладати лише на двійкове множення. Через це точне округлення винесено в окрему функцію на bigint. Калькулятор залишився чистою функцією без залежності від UI, часу чи мережі.</w:t>
      </w:r>
    </w:p>
    <w:p>
      <w:pPr>
        <w:pStyle w:val="Heading2"/>
      </w:pPr>
      <w:r>
        <w:t>7.6 Відповіді на контрольні питання</w:t>
      </w:r>
    </w:p>
    <w:p>
      <w:pPr>
        <w:keepNext w:val="0"/>
      </w:pPr>
      <w:r>
        <w:rPr>
          <w:b w:val="0"/>
        </w:rPr>
        <w:t>1. Red – написати перевірку нової вимоги й побачити очікуваний збій; Green – додати мінімальний код до успіху; Refactor – поліпшити структуру без зміни поведінки й повторно перевірити тести.</w:t>
      </w:r>
    </w:p>
    <w:p>
      <w:pPr>
        <w:keepNext w:val="0"/>
      </w:pPr>
      <w:r>
        <w:rPr>
          <w:b w:val="0"/>
        </w:rPr>
        <w:t>2. Невдалий запуск доводить, що тест виявляє відсутню поведінку. Новий тест може одразу пройти, якщо поведінка вже реалізована або тест не перевіряє потрібний сценарій, наприклад не має дієвого твердження.</w:t>
      </w:r>
    </w:p>
    <w:p>
      <w:pPr>
        <w:keepNext w:val="0"/>
      </w:pPr>
      <w:r>
        <w:rPr>
          <w:b w:val="0"/>
        </w:rPr>
        <w:t>3. Мінімальний Green не вводить неперевірених правил. Наприклад, у 0365113 для страхування лише повертається 3000 грн; інші вікові ціни додано після наступного Red.</w:t>
      </w:r>
    </w:p>
    <w:p>
      <w:pPr>
        <w:keepNext w:val="0"/>
      </w:pPr>
      <w:r>
        <w:rPr>
          <w:b w:val="0"/>
        </w:rPr>
        <w:t>4. Зелений набір дає перевірену поведінкову основу. Якщо до рефакторингу тести вже падають, важко відрізнити стару помилку від нової, спричиненої структурною зміною.</w:t>
      </w:r>
    </w:p>
    <w:p>
      <w:pPr>
        <w:keepNext w:val="0"/>
      </w:pPr>
      <w:r>
        <w:rPr>
          <w:b w:val="0"/>
        </w:rPr>
        <w:t>5. У четвертому показовому циклі іменовано тривалість години й додатковий тариф; далі відокремлено валідацію, базовий розрахунок, ставки та округлення. У цій реалізації ці кроки мають окремі коміти.</w:t>
      </w:r>
    </w:p>
    <w:p>
      <w:pPr>
        <w:keepNext w:val="0"/>
      </w:pPr>
      <w:r>
        <w:rPr>
          <w:b w:val="0"/>
        </w:rPr>
        <w:t>6. Для 600 хв необмежена плата 210 грн. Правильно: обмежити до 200, потім нічний тариф дає 100. Якщо поділити 210 навпіл до обмеження, залишиться 105. Тому порядок обмеження і знижки суттєвий.</w:t>
      </w:r>
    </w:p>
    <w:p>
      <w:pPr>
        <w:keepNext w:val="0"/>
      </w:pPr>
      <w:r>
        <w:rPr>
          <w:b w:val="0"/>
        </w:rPr>
        <w:t>7. Зворотний зв’язок про архітектуру виникає, коли тестування окремих правил показує різні відповідальності. Тут вікові межі, стаж і точність копійок привели до невеликих незалежних функцій.</w:t>
      </w:r>
    </w:p>
    <w:p>
      <w:pPr>
        <w:keepNext w:val="0"/>
      </w:pPr>
      <w:r>
        <w:rPr>
          <w:b w:val="0"/>
        </w:rPr>
        <w:t>8. Один фінальний коміт не доводить, що перевірки передували коду та справді падали. Методичка оцінює процес; окремі коміти з журналами роблять його перевірюваним.</w:t>
      </w:r>
    </w:p>
    <w:p>
      <w:pPr>
        <w:keepNext w:val="0"/>
      </w:pPr>
      <w:r>
        <w:rPr>
          <w:b w:val="0"/>
        </w:rPr>
        <w:t>9. Класичний TDD менш придатний для дослідницьких прототипів із невідомим контрактом, суб’єктивної оцінки дизайну та експериментальних алгоритмів без готового оракула. Спочатку потрібні дослідження або інший спосіб оцінки.</w:t>
      </w:r>
    </w:p>
    <w:p>
      <w:pPr>
        <w:keepNext w:val="0"/>
      </w:pPr>
      <w:r>
        <w:rPr>
          <w:b w:val="0"/>
        </w:rPr>
        <w:t>10. Найкращий промисловий сценарій – нове чітке бізнесове правило або відтворена регресія: відомі вхід і незалежне очікування дозволяють швидко отримати Red, мінімальний Green і безпечний Refactor.</w:t>
      </w:r>
    </w:p>
    <w:p>
      <w:pPr>
        <w:pStyle w:val="Heading1"/>
      </w:pPr>
      <w:r>
        <w:t>8 Рецензія на роботу однокурсника</w:t>
      </w:r>
    </w:p>
    <w:p>
      <w:pPr>
        <w:keepNext w:val="0"/>
      </w:pPr>
      <w:r>
        <w:rPr>
          <w:b w:val="0"/>
        </w:rPr>
        <w:t>Статус: ОЧІКУЄ ВИКОНАННЯ. Посилання на репозиторій або Pull Request однокурсника не надано, і жодну доступну роботу не ідентифіковано як роботу конкретного однокурсника. Тому завершеної рецензії немає. Власний аудит історії не підміняє взаємне рецензування. Нижче наведено шаблон для заповнення після отримання реального посилання.</w:t>
      </w:r>
    </w:p>
    <w:p>
      <w:pPr>
        <w:keepNext/>
        <w:spacing w:before="120"/>
        <w:ind w:firstLine="0"/>
        <w:jc w:val="center"/>
      </w:pPr>
      <w:r>
        <w:rPr>
          <w:b w:val="0"/>
        </w:rPr>
        <w:t>Таблиця 9 – Шаблон майбутньої взаємної рецензії</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7087"/>
      </w:tblGrid>
      <w:tr>
        <w:trPr>
          <w:cantSplit/>
          <w:tblHeader/>
        </w:trPr>
        <w:tc>
          <w:tcPr>
            <w:tcW w:type="dxa" w:w="2551"/>
            <w:vAlign w:val="center"/>
          </w:tcPr>
          <w:p>
            <w:pPr>
              <w:spacing w:before="60" w:after="60"/>
              <w:ind w:firstLine="0"/>
              <w:jc w:val="center"/>
            </w:pPr>
            <w:r>
              <w:rPr>
                <w:b w:val="0"/>
              </w:rPr>
              <w:t>Критерій</w:t>
            </w:r>
          </w:p>
        </w:tc>
        <w:tc>
          <w:tcPr>
            <w:tcW w:type="dxa" w:w="7087"/>
            <w:vAlign w:val="center"/>
          </w:tcPr>
          <w:p>
            <w:pPr>
              <w:spacing w:before="60" w:after="60"/>
              <w:ind w:firstLine="0"/>
              <w:jc w:val="left"/>
            </w:pPr>
            <w:r>
              <w:rPr>
                <w:b w:val="0"/>
              </w:rPr>
              <w:t>Що перевірити та зафіксувати</w:t>
            </w:r>
          </w:p>
        </w:tc>
      </w:tr>
      <w:tr>
        <w:trPr>
          <w:cantSplit/>
        </w:trPr>
        <w:tc>
          <w:tcPr>
            <w:tcW w:type="dxa" w:w="2551"/>
            <w:vAlign w:val="center"/>
          </w:tcPr>
          <w:p>
            <w:pPr>
              <w:spacing w:before="60" w:after="60"/>
              <w:ind w:firstLine="0"/>
              <w:jc w:val="center"/>
            </w:pPr>
            <w:r>
              <w:rPr>
                <w:b w:val="0"/>
              </w:rPr>
              <w:t>Автор і джерело</w:t>
            </w:r>
          </w:p>
        </w:tc>
        <w:tc>
          <w:tcPr>
            <w:tcW w:type="dxa" w:w="7087"/>
            <w:vAlign w:val="center"/>
          </w:tcPr>
          <w:p>
            <w:pPr>
              <w:spacing w:before="60" w:after="60"/>
              <w:ind w:firstLine="0"/>
              <w:jc w:val="left"/>
            </w:pPr>
            <w:r>
              <w:rPr>
                <w:b w:val="0"/>
              </w:rPr>
              <w:t>ПІБ однокурсника, URL, гілка, діапазон хешів; ще не заповнено.</w:t>
            </w:r>
          </w:p>
        </w:tc>
      </w:tr>
      <w:tr>
        <w:trPr>
          <w:cantSplit/>
        </w:trPr>
        <w:tc>
          <w:tcPr>
            <w:tcW w:type="dxa" w:w="2551"/>
            <w:vAlign w:val="center"/>
          </w:tcPr>
          <w:p>
            <w:pPr>
              <w:spacing w:before="60" w:after="60"/>
              <w:ind w:firstLine="0"/>
              <w:jc w:val="center"/>
            </w:pPr>
            <w:r>
              <w:rPr>
                <w:b w:val="0"/>
              </w:rPr>
              <w:t>Порядок TDD</w:t>
            </w:r>
          </w:p>
        </w:tc>
        <w:tc>
          <w:tcPr>
            <w:tcW w:type="dxa" w:w="7087"/>
            <w:vAlign w:val="center"/>
          </w:tcPr>
          <w:p>
            <w:pPr>
              <w:spacing w:before="60" w:after="60"/>
              <w:ind w:firstLine="0"/>
              <w:jc w:val="left"/>
            </w:pPr>
            <w:r>
              <w:rPr>
                <w:b w:val="0"/>
              </w:rPr>
              <w:t>Відповідність Red → Green → Refactor; для кожної поведінки порівняти появу тесту та реалізації. Навести реальні хеші й приклад.</w:t>
            </w:r>
          </w:p>
        </w:tc>
      </w:tr>
      <w:tr>
        <w:trPr>
          <w:cantSplit/>
        </w:trPr>
        <w:tc>
          <w:tcPr>
            <w:tcW w:type="dxa" w:w="2551"/>
            <w:vAlign w:val="center"/>
          </w:tcPr>
          <w:p>
            <w:pPr>
              <w:spacing w:before="60" w:after="60"/>
              <w:ind w:firstLine="0"/>
              <w:jc w:val="center"/>
            </w:pPr>
            <w:r>
              <w:rPr>
                <w:b w:val="0"/>
              </w:rPr>
              <w:t>Мінімальність Green</w:t>
            </w:r>
          </w:p>
        </w:tc>
        <w:tc>
          <w:tcPr>
            <w:tcW w:type="dxa" w:w="7087"/>
            <w:vAlign w:val="center"/>
          </w:tcPr>
          <w:p>
            <w:pPr>
              <w:spacing w:before="60" w:after="60"/>
              <w:ind w:firstLine="0"/>
              <w:jc w:val="left"/>
            </w:pPr>
            <w:r>
              <w:rPr>
                <w:b w:val="0"/>
              </w:rPr>
              <w:t>Переглянути diff кожного Green; чи додано тільки поточну вимогу, чи майбутню поведінку. Навести конкретний фрагмент.</w:t>
            </w:r>
          </w:p>
        </w:tc>
      </w:tr>
      <w:tr>
        <w:trPr>
          <w:cantSplit/>
        </w:trPr>
        <w:tc>
          <w:tcPr>
            <w:tcW w:type="dxa" w:w="2551"/>
            <w:vAlign w:val="center"/>
          </w:tcPr>
          <w:p>
            <w:pPr>
              <w:spacing w:before="60" w:after="60"/>
              <w:ind w:firstLine="0"/>
              <w:jc w:val="center"/>
            </w:pPr>
            <w:r>
              <w:rPr>
                <w:b w:val="0"/>
              </w:rPr>
              <w:t>Рефакторинг</w:t>
            </w:r>
          </w:p>
        </w:tc>
        <w:tc>
          <w:tcPr>
            <w:tcW w:type="dxa" w:w="7087"/>
            <w:vAlign w:val="center"/>
          </w:tcPr>
          <w:p>
            <w:pPr>
              <w:spacing w:before="60" w:after="60"/>
              <w:ind w:firstLine="0"/>
              <w:jc w:val="left"/>
            </w:pPr>
            <w:r>
              <w:rPr>
                <w:b w:val="0"/>
              </w:rPr>
              <w:t>Вказати структурні зміни без нової поведінки, їхню користь і фактичний стан тестів після змін.</w:t>
            </w:r>
          </w:p>
        </w:tc>
      </w:tr>
      <w:tr>
        <w:trPr>
          <w:cantSplit/>
        </w:trPr>
        <w:tc>
          <w:tcPr>
            <w:tcW w:type="dxa" w:w="2551"/>
            <w:vAlign w:val="center"/>
          </w:tcPr>
          <w:p>
            <w:pPr>
              <w:spacing w:before="60" w:after="60"/>
              <w:ind w:firstLine="0"/>
              <w:jc w:val="center"/>
            </w:pPr>
            <w:r>
              <w:rPr>
                <w:b w:val="0"/>
              </w:rPr>
              <w:t>Підсумок</w:t>
            </w:r>
          </w:p>
        </w:tc>
        <w:tc>
          <w:tcPr>
            <w:tcW w:type="dxa" w:w="7087"/>
            <w:vAlign w:val="center"/>
          </w:tcPr>
          <w:p>
            <w:pPr>
              <w:spacing w:before="60" w:after="60"/>
              <w:ind w:firstLine="0"/>
              <w:jc w:val="left"/>
            </w:pPr>
            <w:r>
              <w:rPr>
                <w:b w:val="0"/>
              </w:rPr>
              <w:t>Сформувати обґрунтований висновок після перегляду історії; зараз висновок не сформовано.</w:t>
            </w:r>
          </w:p>
        </w:tc>
      </w:tr>
    </w:tbl>
    <w:p>
      <w:pPr>
        <w:pStyle w:val="Heading1"/>
      </w:pPr>
      <w:r>
        <w:t>9 Репозиторій і відтворення результатів</w:t>
      </w:r>
    </w:p>
    <w:p>
      <w:pPr>
        <w:keepNext w:val="0"/>
        <w:ind w:firstLine="0"/>
      </w:pPr>
      <w:r>
        <w:rPr>
          <w:b w:val="0"/>
        </w:rPr>
      </w:r>
      <w:hyperlink r:id="rId25">
        <w:r>
          <w:rPr>
            <w:color w:val="000000"/>
          </w:rPr>
          <w:t>Наявний GitHub-репозиторій: https://github.com/milunchik/testing</w:t>
        </w:r>
      </w:hyperlink>
    </w:p>
    <w:p>
      <w:pPr>
        <w:keepNext w:val="0"/>
        <w:ind w:firstLine="0"/>
      </w:pPr>
      <w:r>
        <w:rPr>
          <w:b w:val="0"/>
        </w:rPr>
      </w:r>
      <w:hyperlink r:id="rId26">
        <w:r>
          <w:rPr>
            <w:color w:val="000000"/>
          </w:rPr>
          <w:t>Pull Request лабораторної №3: https://github.com/milunchik/testing/pull/3</w:t>
        </w:r>
      </w:hyperlink>
    </w:p>
    <w:p>
      <w:pPr>
        <w:keepNext w:val="0"/>
      </w:pPr>
      <w:r>
        <w:rPr>
          <w:b w:val="0"/>
        </w:rPr>
        <w:t>Гілку опубліковано з підтвердженою HTTPS-авторизацією. Pull Request створено як draft до feature/lab2-vitest-installment, щоб ізолювати зміни лабораторної №3. Злиття не виконувалося. Після додавання звіту гілка містить також документувальні коміти, які не змінюють послідовність TDD.</w:t>
      </w:r>
    </w:p>
    <w:p>
      <w:pPr>
        <w:keepNext w:val="0"/>
      </w:pPr>
      <w:r>
        <w:rPr>
          <w:b w:val="0"/>
        </w:rPr>
        <w:t>Для перевірки: npm test; npm run lint; npm run typecheck; npm run format:check; npm run coverage. Автоматичний аудит: node scripts/lab3-audit.mjs. Повторне отримання PNG: npm run evidence:lab3. Журнали та метадані зберігаються у report/lab3/evidence, знімки – у report/lab3/screenshots. Архів справжнього HTML-покриття – report/lab3/coverage-html.zip.</w:t>
      </w:r>
    </w:p>
    <w:p>
      <w:pPr>
        <w:keepNext w:val="0"/>
      </w:pPr>
      <w:r>
        <w:rPr>
          <w:b w:val="0"/>
        </w:rPr>
        <w:t>Скріншот історії фіксує момент після завершення TDD; наступні службові та документувальні коміти доповнюють його. Для остаточного стану слід виконати git log --oneline і git status. Хеші всіх 48 етапів у таблиці залишаються чинними; переписування історії не виконувалося.</w:t>
      </w:r>
    </w:p>
    <w:p>
      <w:pPr>
        <w:pStyle w:val="Heading1"/>
      </w:pPr>
      <w:r>
        <w:t>10 Висновки щодо складнощів і застосування TDD</w:t>
      </w:r>
    </w:p>
    <w:p>
      <w:pPr>
        <w:keepNext w:val="0"/>
      </w:pPr>
      <w:r>
        <w:rPr>
          <w:b w:val="0"/>
        </w:rPr>
        <w:t>Реалізовано обидва модулі у послідовних циклах із реальними невдалими перевірками. Найскладнішими виявилися відокремлення числових припущень від вимог методички, дотримання мінімальності Green та точність округлення. Окремий восьмий цикл страхування продемонстрував практичну користь Red: він виявив заниження на копійку, хоча попередні приклади й перевірки вже проходили.</w:t>
      </w:r>
    </w:p>
    <w:p>
      <w:pPr>
        <w:keepNext w:val="0"/>
      </w:pPr>
      <w:r>
        <w:rPr>
          <w:b w:val="0"/>
        </w:rPr>
        <w:t>TDD допоміг сформувати невеликі функції з окремими відповідальностями та дозволив безпечно змінити структуру. Для чистих бізнесових калькуляторів підхід доречний: вимоги мають чіткі вхідні дані, межі та незалежні очікування. У промисловій роботі найкраще застосовувати його до усталених бізнесових правил і регресій, доповнюючи інтеграційними та системними перевірками.</w:t>
      </w:r>
    </w:p>
    <w:p>
      <w:pPr>
        <w:keepNext w:val="0"/>
      </w:pPr>
      <w:r>
        <w:rPr>
          <w:b w:val="0"/>
        </w:rPr>
        <w:t>Для пошукового прототипування, суб’єктивного візуального дизайну та експериментальних алгоритмів із невідомим очікуваним результатом класичний TDD потребує попереднього дослідження. Натомість для відтвореної помилки або конкретного правила він дає швидкий зворотний зв’язок. Показник 100% не замінює правильного контракту, тому звіт містить і межові приклади, і пояснення припущень, і справжню історію тестів.</w:t>
      </w:r>
    </w:p>
    <w:p>
      <w:pPr>
        <w:keepNext w:val="0"/>
      </w:pPr>
      <w:r>
        <w:rPr>
          <w:b w:val="0"/>
        </w:rPr>
        <w:t>Залишаються навчальні дії: отримати роботу однокурсника й виконати реальну взаємну рецензію та захистити роботу. Ці кроки не позначено як виконані.</w:t>
      </w:r>
    </w:p>
    <w:sectPr w:rsidR="00FC693F" w:rsidRPr="0006063C" w:rsidSect="00034616">
      <w:footerReference w:type="default" r:id="rId9"/>
      <w:footerReference w:type="first" r:id="rId10"/>
      <w:pgSz w:w="11906" w:h="16838"/>
      <w:pgMar w:top="1134" w:right="1134" w:bottom="1134" w:left="113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b/>
      </w:rPr>
      <w:t>Ужгород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8"/>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8"/>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8"/>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0" w:line="360" w:lineRule="auto"/>
      <w:ind w:firstLine="0"/>
      <w:contextualSpacing/>
    </w:pPr>
    <w:rPr>
      <w:rFonts w:ascii="Times New Roman" w:hAnsi="Times New Roman" w:eastAsia="Times New Roman" w:cs="Times New Roman"/>
      <w:color w:val="000000"/>
      <w:spacing w:val="5"/>
      <w:kern w:val="28"/>
      <w:sz w:val="28"/>
      <w:szCs w:val="28"/>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28"/>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8"/>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28"/>
    </w:rPr>
  </w:style>
  <w:style w:type="character" w:customStyle="1" w:styleId="BodyText3Char">
    <w:name w:val="Body Text 3 Char"/>
    <w:basedOn w:val="DefaultParagraphFont"/>
    <w:link w:val="BodyText3"/>
    <w:uiPriority w:val="99"/>
    <w:rsid w:val="00AA1D8D"/>
    <w:rPr>
      <w:sz w:val="16"/>
      <w:szCs w:val="28"/>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8"/>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8"/>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8"/>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8"/>
    </w:rPr>
  </w:style>
  <w:style w:type="paragraph" w:styleId="Caption">
    <w:name w:val="caption"/>
    <w:basedOn w:val="Normal"/>
    <w:next w:val="Normal"/>
    <w:uiPriority w:val="35"/>
    <w:semiHidden/>
    <w:unhideWhenUsed/>
    <w:qFormat/>
    <w:rsid w:val="00FC693F"/>
    <w:pPr>
      <w:spacing w:line="360" w:lineRule="auto" w:after="0"/>
      <w:ind w:firstLine="0"/>
    </w:pPr>
    <w:rPr>
      <w:rFonts w:ascii="Times New Roman" w:hAnsi="Times New Roman" w:eastAsia="Times New Roman" w:cs="Times New Roman"/>
      <w:b/>
      <w:bCs/>
      <w:color w:val="000000"/>
      <w:sz w:val="28"/>
      <w:szCs w:val="2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8"/>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8"/>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8"/>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8"/>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8"/>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8"/>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8"/>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sting">
    <w:name w:val="Source Listing"/>
    <w:basedOn w:val="Normal"/>
    <w:pPr>
      <w:widowControl w:val="0"/>
      <w:spacing w:line="360" w:lineRule="auto"/>
      <w:ind w:firstLine="0"/>
      <w:jc w:val="left"/>
    </w:pPr>
    <w:rPr>
      <w:rFonts w:ascii="Times New Roman" w:hAnsi="Times New Roman"/>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github.com/milunchik/testing" TargetMode="External"/><Relationship Id="rId26" Type="http://schemas.openxmlformats.org/officeDocument/2006/relationships/hyperlink" Target="https://github.com/milunchik/testing/pul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№3 Практикум TDD Варіант 12</dc:title>
  <dc:subject>Цикл Red – Green – Refactor у TypeScript і Vitest</dc:subject>
  <dc:creator>Граб Емілія Володимирівна</dc:creator>
  <cp:keywords/>
  <dc:description>generated by python-docx</dc:description>
  <cp:lastModifiedBy/>
  <cp:revision>1</cp:revision>
  <dcterms:created xsi:type="dcterms:W3CDTF">2013-12-23T23:15:00Z</dcterms:created>
  <dcterms:modified xsi:type="dcterms:W3CDTF">2013-12-23T23:15:00Z</dcterms:modified>
  <cp:category/>
</cp:coreProperties>
</file>