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r>
        <w:t xml:space="preserve">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ranks among the most consequential assessment techniques to migrate from educational psychology into machine learning infrastructure. Taylor's 1953 article in Journalism Quarterly departed from existing readability approaches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w:t>
      </w:r>
    </w:p>
    <w:p>
      <w:r>
        <w:t xml:space="preserve">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Prior to BERT, ELMo (Peters et al. 2018) had demonstrated that bidirectional language representations improved performance across NLP tasks, though its bidirectionality was achieved by concatenating separately trained unidirectional LSTMs rather than through deep joint training.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w:t>
      </w:r>
    </w:p>
    <w:p>
      <w:r>
        <w:t xml:space="preserve">This convergence between educational assessment and machine learning is not coincidental, and tracing its logic helps clarify why a game that returns cloze tasks to human readers might serve as a critical instrument for examining what prediction-based training actually produces.</w:t>
      </w:r>
    </w:p>
    <w:p>
      <w:r>
        <w:t xml:space="preserve">Computational linguists and machine learning researchers recognized that the cloze framework provided a self-supervised learning objective that could leverage vast quantities of unannotated text (Bommasani et al. 2021). Because the value of each masked word was already present in the original unannotated text, large-scale language models could be trained on billions of words without requiring expensive human labeling, a practical advantage over traditional supervised learning approaches (Devlin et al. 2019). The cloze-like task represented what researchers termed a "self-supervised learning" objective, wherein supervisory signals directing model learning are present within the data itself rather than requiring human annotation (Bommasani et al. 2021).</w:t>
      </w:r>
    </w:p>
    <w:p>
      <w:r>
        <w:t xml:space="preserve">Yet the structural resemblance between Taylor's cloze procedure and masked language modeling conceals asymmetries that become visible when we attend to what each technique is designed to do and what it assumes about the systems it operates upon.</w:t>
      </w:r>
    </w:p>
    <w:p>
      <w:r>
        <w:t xml:space="preserve">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where test-takers employ the same linguistic prediction mechanisms and rule systems they bring to any authentic language comprehension scenario (Oller 1979). This assumption suggested that cloze tests measure integrated comprehension abilities rather than discrete vocabulary knowledge, requiring readers to understand semantic relationships, grammatical constraints, discourse coherence, and contextual appropriateness simultaneously (Oller 1979; Bachman 1985).</w:t>
      </w:r>
    </w:p>
    <w:p>
      <w:r>
        <w:t xml:space="preserve">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w:t>
      </w:r>
    </w:p>
    <w:p>
      <w:r>
        <w:t xml:space="preserve">When researchers describe language models as performing "fill-in-the-blank" tasks, they invoke a familiar educational metaphor that risks obscuring what these systems actually do.</w:t>
      </w:r>
    </w:p>
    <w:p>
      <w:r>
        <w:t xml:space="preserve">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w:t>
      </w:r>
    </w:p>
    <w:p>
      <w:r>
        <w:t xml:space="preserve">This article examines a browser-based educational game called Cloze Reader (https://reader.inference-arcade.com) that probes the convergence between these twin histories by using a language model to generate cloze tasks that return to human readers as exercises in contextual induction.</w:t>
      </w:r>
    </w:p>
    <w:p>
      <w:r>
        <w:t xml:space="preserve">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w:t>
      </w:r>
    </w:p>
    <w:p>
      <w:r>
        <w:t xml:space="preserve">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w:t>
      </w:r>
    </w:p>
    <w:p>
      <w:r>
        <w:t xml:space="preserve">The recursive structure of Cloze Reader becomes visible in its architecture, where word selection is delegated to the same class of language model whose training regime descended from the cloze procedure.</w:t>
      </w:r>
    </w:p>
    <w:p>
      <w:r>
        <w:t xml:space="preserve">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w:t>
      </w:r>
    </w:p>
    <w:p>
      <w:r>
        <w:t xml:space="preserve">The prompt reveals how the system translates pedagogical goals into instructions that the model interprets through the statistical regularities of its training corpus rather than through explicit definitions — what Bommasani et al. (2021) describe as capabilities "implicitly induced rather than explicitly constructed" — and this opacity is itself part of what the project stages for critical examination.</w:t>
      </w:r>
    </w:p>
    <w:p>
      <w:r>
        <w:t xml:space="preserve">These heuristic instructions ask the model to target words with high contextual weight, yet the model interprets those instructions through statistical patterns in its training data rather than through formal definitions (Bommasani et al. 2021).</w:t>
      </w:r>
    </w:p>
    <w:p>
      <w:r>
        <w:t xml:space="preserve">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w:t>
      </w:r>
    </w:p>
    <w:p>
      <w:r>
        <w:t xml:space="preserve">This architecture enacts a feedback loop that closes the circuit between educational assessment and machine learning in a way that exposes both the continuities and the gaps between human reading comprehension and statistical prediction.</w:t>
      </w:r>
    </w:p>
    <w:p>
      <w:r>
        <w:t xml:space="preserve">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w:t>
      </w:r>
    </w:p>
    <w:p>
      <w:r>
        <w:t xml:space="preserve">The Project Gutenberg corpus situates this feedback loop within a specific textual archive that predates the web-scale corpora on which contemporary language models train yet contributed to those corpora as digitized public-domain material — it is a standard component of large-scale pre-training datasets including The Pile (Gao et al. 2020).</w:t>
      </w:r>
    </w:p>
    <w:p>
      <w:r>
        <w:t xml:space="preserve">Over 70,000 public-domain e-books, filtered for high-quality narrative prose, supply the passages from which blanks are generated, and these texts include Shakespeare, nineteenth-century American oratory, and early twentieth-century fiction.</w:t>
      </w:r>
    </w:p>
    <w:p>
      <w:r>
        <w:t xml:space="preserve">When Gemma-3 selects words from a Melville passage, it draws on representations shaped partly by Melville's own prose, encountered during pre-training as statistical residue — and in some cases memorized verbatim (Carlini et al. 2021),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w:t>
      </w:r>
    </w:p>
    <w:p>
      <w:r>
        <w:t xml:space="preserve">The game's difficulty system makes these dynamics playable by distributing challenge across two independent dimensions that correspond to different aspects of contextual reasoning.</w:t>
      </w:r>
    </w:p>
    <w:p>
      <w:r>
        <w:t xml:space="preserve">At levels one through five, a single blank per passage and generous hints that include word length, first letter, and last letter scaffold early encounters with the inferential demands of cloze completion.</w:t>
      </w:r>
    </w:p>
    <w:p>
      <w:r>
        <w:t xml:space="preserve">Levels six through ten introduce two blanks with reduced hint scaffolding that provides only the first letter.</w:t>
      </w:r>
    </w:p>
    <w:p>
      <w:r>
        <w:t xml:space="preserve">Level eleven and beyond present three blanks with minimal guidance.</w:t>
      </w:r>
    </w:p>
    <w:p>
      <w:r>
        <w:t xml:space="preserve">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w:t>
      </w:r>
    </w:p>
    <w:p>
      <w:r>
        <w:t xml:space="preserve">The hint system supports interpretive work without short-circuiting it, modeling a form of graduated scaffolding — in the sense of Wood, Bruner, and Ross (1976) and Vygotsky's (1978) zone of proximal development — that encourages slow, deep reading rather than providing direct answers. The system's hints are static rather than adaptive, a limit Pea (2004) would recognize as a departure from the original scaffolding criteria, and this constraint is itself a design choice worth examining.</w:t>
      </w:r>
    </w:p>
    <w:p>
      <w:r>
        <w:t xml:space="preserve">The embedded chat panel, powered by Gemma-3-27B, paraphrases surrounding context, points to syntactic or semantic cues, and poses leading questions that direct attention to features of the passage that bear on the missing word.</w:t>
      </w:r>
    </w:p>
    <w:p>
      <w:r>
        <w:t xml:space="preserve">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w:t>
      </w:r>
    </w:p>
    <w:p>
      <w:r>
        <w:t xml:space="preserve">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w:t>
      </w:r>
    </w:p>
    <w:p>
      <w:r>
        <w:t xml:space="preserve">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w:t>
      </w:r>
    </w:p>
    <w:p>
      <w:r>
        <w:t xml:space="preserve">Cloze Reader returns a practice that migrated from educational assessment into machine learning infrastructure back to human readers as an invitation to read slowly and contextually.</w:t>
      </w:r>
    </w:p>
    <w:p>
      <w:r>
        <w:t xml:space="preserve">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w:t>
      </w:r>
    </w:p>
    <w:p>
      <w:r>
        <w:t xml:space="preserve">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w:t>
      </w:r>
    </w:p>
    <w:p>
      <w:r>
        <w:t xml:space="preserve">Cloze Reader inherits both histories and uses game mechanics to hold them apart for examination.</w:t>
      </w:r>
    </w:p>
    <w:p>
      <w:r>
        <w:t xml:space="preserve">Pretraining reduces text to token distributions. The blank makes that reduction legible as loss, and refilling it demonstrates what the model, having processed the same passage, cannot do: read it.</w:t>
      </w:r>
    </w:p>
    <w:p/>
    <w:p>
      <w:r>
        <w:t xml:space="preserve">References
Alammar, J. (2019) 'The illustrated BERT, ELMo, and co.', jalammar.github.io. Available at: https://jalammar.github.io/illustrated-bert/ (Accessed: 2 February 2026). arXiv (2024) 'Language model divergence from human cloze expectations'. Available at: https://arxiv.org/html/2410.12057v2 (Accessed: 2 February 2026). Bachman, L.F. (1985) 'Performance on cloze tests with fixed-ratio and rational deletions', TESOL Quarterly, 19(3), pp. 535–556. Bommasani, R. et al. (2021) 'On the opportunities and risks of foundation models', arXiv:2108.07258. Available at: https://arxiv.org/abs/2108.07258 Devlin, J. et al. (2019) 'BERT: Pre-training of deep bidirectional transformers for language understanding', in Proceedings of NAACL-HLT 2019. Minneapolis, MN: Association for Computational Linguistics, pp. 4171–4186. Available at: https://aclanthology.org/N19-1423.pdf Koffka, K. (1935) Principles of Gestalt Psychology. New York: Harcourt, Brace &amp; World. Available at: https://archive.org/details/in.ernet.dli.2015.7888 Oller, J.W. (1979) Language Tests at School: A Pragmatic Approach. London: Longman. Peters, M.E. et al. (2018) 'Deep contextualized word representations', in Proceedings of NAACL-HLT 2018. New Orleans, LA: Association for Computational Linguistics, pp. 2227–2237. Available at: https://aclanthology.org/N18-1202/ PMC (2024) 'Comparing human and LLM cloze responses', PubMed Central. Available at: https://pmc.ncbi.nlm.nih.gov/articles/PMC11458034/ (Accessed: 2 February 2026). Taylor, W.L. (1953) '"Cloze procedure": A new tool for measuring readability', Journalism Quarterly, 30(4), pp. 415–433. Available at: https://journals.sagepub.com/doi/10.1177/107769905303000401 Xie, Q. et al. (2018) 'Large-scale cloze test dataset created by teachers', in Proceedings of EMNLP 2018. Brussels: Association for Computational Linguistics, pp. 2344–2356. Available at: https://aclanthology.org/D18-1257/
Carlini, N. et al. (2021) 'Extracting training data from large language models', in Proceedings of the 30th USENIX Security Symposium. USENIX Association, pp. 2633–2650. Available at: https://www.usenix.org/conference/usenixsecurity21/presentation/carlini-extracting
Gao, L. et al. (2020) 'The Pile: An 800GB dataset of diverse text for language modeling', arXiv:2101.00027. Available at: https://arxiv.org/abs/2101.00027
Pea, R.D. (2004) 'The social and technological dimensions of scaffolding and related theoretical concepts for learning, education, and human activity', Journal of the Learning Sciences, 13(3), pp. 423–451.
Vygotsky, L.S. (1978) Mind in Society: The Development of Higher Psychological Processes. Cambridge, MA: Harvard University Press.
Wood, D., Bruner, J.S. and Ross, G. (1976) 'The role of tutoring in problem solving', Journal of Child Psychology and Psychiatry, 17(2), pp. 89–100.</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